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F81BD" w:themeColor="accent1"/>
        </w:rPr>
        <w:id w:val="-821431541"/>
        <w:docPartObj>
          <w:docPartGallery w:val="Cover Pages"/>
          <w:docPartUnique/>
        </w:docPartObj>
      </w:sdtPr>
      <w:sdtEndPr>
        <w:rPr>
          <w:rFonts w:ascii="Times New Roman" w:hAnsi="Times New Roman" w:cs="Times New Roman"/>
          <w:b/>
          <w:color w:val="auto"/>
          <w:sz w:val="24"/>
          <w:szCs w:val="24"/>
        </w:rPr>
      </w:sdtEndPr>
      <w:sdtContent>
        <w:p w:rsidR="00B911D0" w:rsidRDefault="00B911D0">
          <w:pPr>
            <w:pStyle w:val="NoSpacing"/>
            <w:spacing w:before="1540" w:after="240"/>
            <w:jc w:val="center"/>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93B99E6EEA384BD0B308D8757E0B5B7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911D0" w:rsidRDefault="00B911D0">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Understanding the individual retirement account</w:t>
              </w:r>
            </w:p>
          </w:sdtContent>
        </w:sdt>
        <w:sdt>
          <w:sdtPr>
            <w:rPr>
              <w:color w:val="4F81BD" w:themeColor="accent1"/>
              <w:sz w:val="28"/>
              <w:szCs w:val="28"/>
            </w:rPr>
            <w:alias w:val="Subtitle"/>
            <w:tag w:val=""/>
            <w:id w:val="328029620"/>
            <w:placeholder>
              <w:docPart w:val="773D2F7BAA914939BBD9FD1E84105E65"/>
            </w:placeholder>
            <w:dataBinding w:prefixMappings="xmlns:ns0='http://purl.org/dc/elements/1.1/' xmlns:ns1='http://schemas.openxmlformats.org/package/2006/metadata/core-properties' " w:xpath="/ns1:coreProperties[1]/ns0:subject[1]" w:storeItemID="{6C3C8BC8-F283-45AE-878A-BAB7291924A1}"/>
            <w:text/>
          </w:sdtPr>
          <w:sdtEndPr/>
          <w:sdtContent>
            <w:p w:rsidR="00B911D0" w:rsidRDefault="00B911D0">
              <w:pPr>
                <w:pStyle w:val="NoSpacing"/>
                <w:jc w:val="center"/>
                <w:rPr>
                  <w:color w:val="4F81BD" w:themeColor="accent1"/>
                  <w:sz w:val="28"/>
                  <w:szCs w:val="28"/>
                </w:rPr>
              </w:pPr>
              <w:r>
                <w:rPr>
                  <w:color w:val="4F81BD" w:themeColor="accent1"/>
                  <w:sz w:val="28"/>
                  <w:szCs w:val="28"/>
                </w:rPr>
                <w:t>Traditional and Roth IRA’s</w:t>
              </w:r>
            </w:p>
          </w:sdtContent>
        </w:sdt>
        <w:p w:rsidR="00B911D0" w:rsidRDefault="00B911D0">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3-06-09T00:00:00Z">
                                    <w:dateFormat w:val="MMMM d, yyyy"/>
                                    <w:lid w:val="en-US"/>
                                    <w:storeMappedDataAs w:val="dateTime"/>
                                    <w:calendar w:val="gregorian"/>
                                  </w:date>
                                </w:sdtPr>
                                <w:sdtEndPr/>
                                <w:sdtContent>
                                  <w:p w:rsidR="00B911D0" w:rsidRDefault="00B911D0">
                                    <w:pPr>
                                      <w:pStyle w:val="NoSpacing"/>
                                      <w:spacing w:after="40"/>
                                      <w:jc w:val="center"/>
                                      <w:rPr>
                                        <w:caps/>
                                        <w:color w:val="4F81BD" w:themeColor="accent1"/>
                                        <w:sz w:val="28"/>
                                        <w:szCs w:val="28"/>
                                      </w:rPr>
                                    </w:pPr>
                                    <w:r>
                                      <w:rPr>
                                        <w:caps/>
                                        <w:color w:val="4F81BD" w:themeColor="accent1"/>
                                        <w:sz w:val="28"/>
                                        <w:szCs w:val="28"/>
                                      </w:rPr>
                                      <w:t>June 9, 2013</w:t>
                                    </w:r>
                                  </w:p>
                                </w:sdtContent>
                              </w:sdt>
                              <w:p w:rsidR="00B911D0" w:rsidRDefault="006A40B4">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911D0">
                                      <w:rPr>
                                        <w:caps/>
                                        <w:color w:val="4F81BD" w:themeColor="accent1"/>
                                      </w:rPr>
                                      <w:t>Acct. 4611</w:t>
                                    </w:r>
                                  </w:sdtContent>
                                </w:sdt>
                              </w:p>
                              <w:p w:rsidR="00B911D0" w:rsidRPr="00B911D0" w:rsidRDefault="006A40B4">
                                <w:pPr>
                                  <w:pStyle w:val="NoSpacing"/>
                                  <w:jc w:val="center"/>
                                  <w:rPr>
                                    <w:b/>
                                    <w:color w:val="4F81BD" w:themeColor="accent1"/>
                                    <w:sz w:val="32"/>
                                  </w:rPr>
                                </w:pPr>
                                <w:sdt>
                                  <w:sdtPr>
                                    <w:rPr>
                                      <w:b/>
                                      <w:color w:val="4F81BD" w:themeColor="accent1"/>
                                      <w:sz w:val="32"/>
                                    </w:rPr>
                                    <w:alias w:val="Address"/>
                                    <w:tag w:val=""/>
                                    <w:id w:val="-726379553"/>
                                    <w:dataBinding w:prefixMappings="xmlns:ns0='http://schemas.microsoft.com/office/2006/coverPageProps' " w:xpath="/ns0:CoverPageProperties[1]/ns0:CompanyAddress[1]" w:storeItemID="{55AF091B-3C7A-41E3-B477-F2FDAA23CFDA}"/>
                                    <w:text/>
                                  </w:sdtPr>
                                  <w:sdtEndPr/>
                                  <w:sdtContent>
                                    <w:r w:rsidR="00B911D0" w:rsidRPr="00B911D0">
                                      <w:rPr>
                                        <w:b/>
                                        <w:color w:val="4F81BD" w:themeColor="accent1"/>
                                        <w:sz w:val="32"/>
                                      </w:rPr>
                                      <w:t>Chris Ganzon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3-06-09T00:00:00Z">
                              <w:dateFormat w:val="MMMM d, yyyy"/>
                              <w:lid w:val="en-US"/>
                              <w:storeMappedDataAs w:val="dateTime"/>
                              <w:calendar w:val="gregorian"/>
                            </w:date>
                          </w:sdtPr>
                          <w:sdtContent>
                            <w:p w:rsidR="00B911D0" w:rsidRDefault="00B911D0">
                              <w:pPr>
                                <w:pStyle w:val="NoSpacing"/>
                                <w:spacing w:after="40"/>
                                <w:jc w:val="center"/>
                                <w:rPr>
                                  <w:caps/>
                                  <w:color w:val="4F81BD" w:themeColor="accent1"/>
                                  <w:sz w:val="28"/>
                                  <w:szCs w:val="28"/>
                                </w:rPr>
                              </w:pPr>
                              <w:r>
                                <w:rPr>
                                  <w:caps/>
                                  <w:color w:val="4F81BD" w:themeColor="accent1"/>
                                  <w:sz w:val="28"/>
                                  <w:szCs w:val="28"/>
                                </w:rPr>
                                <w:t>June 9, 2013</w:t>
                              </w:r>
                            </w:p>
                          </w:sdtContent>
                        </w:sdt>
                        <w:p w:rsidR="00B911D0" w:rsidRDefault="00B911D0">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Acct. 4611</w:t>
                              </w:r>
                            </w:sdtContent>
                          </w:sdt>
                        </w:p>
                        <w:p w:rsidR="00B911D0" w:rsidRPr="00B911D0" w:rsidRDefault="00B911D0">
                          <w:pPr>
                            <w:pStyle w:val="NoSpacing"/>
                            <w:jc w:val="center"/>
                            <w:rPr>
                              <w:b/>
                              <w:color w:val="4F81BD" w:themeColor="accent1"/>
                              <w:sz w:val="32"/>
                            </w:rPr>
                          </w:pPr>
                          <w:sdt>
                            <w:sdtPr>
                              <w:rPr>
                                <w:b/>
                                <w:color w:val="4F81BD" w:themeColor="accent1"/>
                                <w:sz w:val="32"/>
                              </w:rPr>
                              <w:alias w:val="Address"/>
                              <w:tag w:val=""/>
                              <w:id w:val="-726379553"/>
                              <w:dataBinding w:prefixMappings="xmlns:ns0='http://schemas.microsoft.com/office/2006/coverPageProps' " w:xpath="/ns0:CoverPageProperties[1]/ns0:CompanyAddress[1]" w:storeItemID="{55AF091B-3C7A-41E3-B477-F2FDAA23CFDA}"/>
                              <w:text/>
                            </w:sdtPr>
                            <w:sdtContent>
                              <w:r w:rsidRPr="00B911D0">
                                <w:rPr>
                                  <w:b/>
                                  <w:color w:val="4F81BD" w:themeColor="accent1"/>
                                  <w:sz w:val="32"/>
                                </w:rPr>
                                <w:t>Chris Ganzon</w:t>
                              </w:r>
                            </w:sdtContent>
                          </w:sdt>
                        </w:p>
                      </w:txbxContent>
                    </v:textbox>
                    <w10:wrap anchorx="margin" anchory="page"/>
                  </v:shape>
                </w:pict>
              </mc:Fallback>
            </mc:AlternateContent>
          </w:r>
        </w:p>
        <w:p w:rsidR="00B911D0" w:rsidRDefault="00B911D0">
          <w:pPr>
            <w:rPr>
              <w:rFonts w:ascii="Times New Roman" w:hAnsi="Times New Roman" w:cs="Times New Roman"/>
              <w:b/>
              <w:sz w:val="24"/>
              <w:szCs w:val="24"/>
            </w:rPr>
          </w:pPr>
          <w:r>
            <w:rPr>
              <w:rFonts w:ascii="Times New Roman" w:hAnsi="Times New Roman" w:cs="Times New Roman"/>
              <w:b/>
              <w:sz w:val="24"/>
              <w:szCs w:val="24"/>
            </w:rPr>
            <w:br w:type="page"/>
          </w:r>
        </w:p>
      </w:sdtContent>
    </w:sdt>
    <w:p w:rsidR="00B911D0" w:rsidRPr="00B911D0" w:rsidRDefault="00B911D0" w:rsidP="00B911D0">
      <w:pPr>
        <w:spacing w:line="480" w:lineRule="auto"/>
        <w:contextualSpacing/>
        <w:rPr>
          <w:rFonts w:ascii="Times New Roman" w:hAnsi="Times New Roman" w:cs="Times New Roman"/>
          <w:b/>
          <w:sz w:val="24"/>
          <w:szCs w:val="24"/>
          <w:u w:val="single"/>
        </w:rPr>
      </w:pPr>
      <w:r w:rsidRPr="00B911D0">
        <w:rPr>
          <w:rFonts w:ascii="Times New Roman" w:hAnsi="Times New Roman" w:cs="Times New Roman"/>
          <w:b/>
          <w:sz w:val="24"/>
          <w:szCs w:val="24"/>
          <w:u w:val="single"/>
        </w:rPr>
        <w:lastRenderedPageBreak/>
        <w:t>Table of Contents</w:t>
      </w:r>
    </w:p>
    <w:p w:rsidR="00B911D0" w:rsidRDefault="00B911D0" w:rsidP="00B911D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Introduction…………………………………………………..2</w:t>
      </w:r>
    </w:p>
    <w:p w:rsidR="00B911D0" w:rsidRDefault="00B911D0" w:rsidP="00B911D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Traditional IRA………………………………………………2</w:t>
      </w:r>
    </w:p>
    <w:p w:rsidR="00B911D0" w:rsidRDefault="00B911D0" w:rsidP="00B911D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Roth IRA……………………………………………………...4</w:t>
      </w:r>
    </w:p>
    <w:p w:rsidR="00B911D0" w:rsidRDefault="00B911D0">
      <w:pPr>
        <w:rPr>
          <w:rFonts w:ascii="Times New Roman" w:hAnsi="Times New Roman" w:cs="Times New Roman"/>
          <w:b/>
          <w:sz w:val="24"/>
          <w:szCs w:val="24"/>
        </w:rPr>
      </w:pPr>
      <w:r>
        <w:rPr>
          <w:rFonts w:ascii="Times New Roman" w:hAnsi="Times New Roman" w:cs="Times New Roman"/>
          <w:b/>
          <w:sz w:val="24"/>
          <w:szCs w:val="24"/>
        </w:rPr>
        <w:t>Rollover to a Traditional IRA……………………………….4</w:t>
      </w:r>
    </w:p>
    <w:p w:rsidR="00B911D0" w:rsidRDefault="00331921">
      <w:pPr>
        <w:rPr>
          <w:rFonts w:ascii="Times New Roman" w:hAnsi="Times New Roman" w:cs="Times New Roman"/>
          <w:b/>
          <w:sz w:val="24"/>
          <w:szCs w:val="24"/>
        </w:rPr>
      </w:pPr>
      <w:r>
        <w:rPr>
          <w:rFonts w:ascii="Times New Roman" w:hAnsi="Times New Roman" w:cs="Times New Roman"/>
          <w:b/>
          <w:sz w:val="24"/>
          <w:szCs w:val="24"/>
        </w:rPr>
        <w:t>Rollover of</w:t>
      </w:r>
      <w:r w:rsidR="00B911D0">
        <w:rPr>
          <w:rFonts w:ascii="Times New Roman" w:hAnsi="Times New Roman" w:cs="Times New Roman"/>
          <w:b/>
          <w:sz w:val="24"/>
          <w:szCs w:val="24"/>
        </w:rPr>
        <w:t xml:space="preserve"> Tra</w:t>
      </w:r>
      <w:r>
        <w:rPr>
          <w:rFonts w:ascii="Times New Roman" w:hAnsi="Times New Roman" w:cs="Times New Roman"/>
          <w:b/>
          <w:sz w:val="24"/>
          <w:szCs w:val="24"/>
        </w:rPr>
        <w:t>ditional to a Roth IRA………………...........6</w:t>
      </w:r>
    </w:p>
    <w:p w:rsidR="00B911D0" w:rsidRDefault="00B911D0">
      <w:pPr>
        <w:rPr>
          <w:rFonts w:ascii="Times New Roman" w:hAnsi="Times New Roman" w:cs="Times New Roman"/>
          <w:b/>
          <w:sz w:val="24"/>
          <w:szCs w:val="24"/>
        </w:rPr>
      </w:pPr>
      <w:r>
        <w:rPr>
          <w:rFonts w:ascii="Times New Roman" w:hAnsi="Times New Roman" w:cs="Times New Roman"/>
          <w:b/>
          <w:sz w:val="24"/>
          <w:szCs w:val="24"/>
        </w:rPr>
        <w:t>Court Case……………………………………………………6</w:t>
      </w:r>
    </w:p>
    <w:p w:rsidR="00B911D0" w:rsidRDefault="00331921">
      <w:pPr>
        <w:rPr>
          <w:rFonts w:ascii="Times New Roman" w:hAnsi="Times New Roman" w:cs="Times New Roman"/>
          <w:b/>
          <w:sz w:val="24"/>
          <w:szCs w:val="24"/>
        </w:rPr>
      </w:pPr>
      <w:r>
        <w:rPr>
          <w:rFonts w:ascii="Times New Roman" w:hAnsi="Times New Roman" w:cs="Times New Roman"/>
          <w:b/>
          <w:sz w:val="24"/>
          <w:szCs w:val="24"/>
        </w:rPr>
        <w:t>Conclusion…………………………………………………….</w:t>
      </w:r>
      <w:r w:rsidR="00B911D0">
        <w:rPr>
          <w:rFonts w:ascii="Times New Roman" w:hAnsi="Times New Roman" w:cs="Times New Roman"/>
          <w:b/>
          <w:sz w:val="24"/>
          <w:szCs w:val="24"/>
        </w:rPr>
        <w:t>8</w:t>
      </w:r>
    </w:p>
    <w:p w:rsidR="00B911D0" w:rsidRDefault="00B911D0">
      <w:pPr>
        <w:rPr>
          <w:rFonts w:ascii="Times New Roman" w:hAnsi="Times New Roman" w:cs="Times New Roman"/>
          <w:b/>
          <w:sz w:val="24"/>
          <w:szCs w:val="24"/>
        </w:rPr>
      </w:pPr>
      <w:r>
        <w:rPr>
          <w:rFonts w:ascii="Times New Roman" w:hAnsi="Times New Roman" w:cs="Times New Roman"/>
          <w:b/>
          <w:sz w:val="24"/>
          <w:szCs w:val="24"/>
        </w:rPr>
        <w:t>Bibliography…………………………………………………..9</w:t>
      </w:r>
      <w:r>
        <w:rPr>
          <w:rFonts w:ascii="Times New Roman" w:hAnsi="Times New Roman" w:cs="Times New Roman"/>
          <w:b/>
          <w:sz w:val="24"/>
          <w:szCs w:val="24"/>
        </w:rPr>
        <w:br w:type="page"/>
      </w:r>
    </w:p>
    <w:p w:rsidR="00B911D0" w:rsidRDefault="00B911D0" w:rsidP="00B911D0">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4B560B" w:rsidRPr="00A40AD3" w:rsidRDefault="008F62DA" w:rsidP="00B911D0">
      <w:pPr>
        <w:spacing w:line="480" w:lineRule="auto"/>
        <w:ind w:firstLine="720"/>
        <w:contextualSpacing/>
        <w:rPr>
          <w:rFonts w:ascii="Times New Roman" w:hAnsi="Times New Roman" w:cs="Times New Roman"/>
          <w:sz w:val="24"/>
          <w:szCs w:val="24"/>
        </w:rPr>
      </w:pPr>
      <w:r w:rsidRPr="00A40AD3">
        <w:rPr>
          <w:rFonts w:ascii="Times New Roman" w:hAnsi="Times New Roman" w:cs="Times New Roman"/>
          <w:sz w:val="24"/>
          <w:szCs w:val="24"/>
        </w:rPr>
        <w:t>In today’s economy, people are changing jobs and careers more frequently than before.  Reasons such as better work life balance, relocation, or even increased pay top the list for individuals making career path adjustments.  This leads to the important question</w:t>
      </w:r>
      <w:r w:rsidR="004356CE" w:rsidRPr="00A40AD3">
        <w:rPr>
          <w:rFonts w:ascii="Times New Roman" w:hAnsi="Times New Roman" w:cs="Times New Roman"/>
          <w:sz w:val="24"/>
          <w:szCs w:val="24"/>
        </w:rPr>
        <w:t>s</w:t>
      </w:r>
      <w:r w:rsidRPr="00A40AD3">
        <w:rPr>
          <w:rFonts w:ascii="Times New Roman" w:hAnsi="Times New Roman" w:cs="Times New Roman"/>
          <w:sz w:val="24"/>
          <w:szCs w:val="24"/>
        </w:rPr>
        <w:t xml:space="preserve"> for many,</w:t>
      </w:r>
      <w:r w:rsidR="004356CE" w:rsidRPr="00A40AD3">
        <w:rPr>
          <w:rFonts w:ascii="Times New Roman" w:hAnsi="Times New Roman" w:cs="Times New Roman"/>
          <w:sz w:val="24"/>
          <w:szCs w:val="24"/>
        </w:rPr>
        <w:t xml:space="preserve"> “What investment vehicles are out there for me to better my future after retirement?”, or</w:t>
      </w:r>
      <w:r w:rsidRPr="00A40AD3">
        <w:rPr>
          <w:rFonts w:ascii="Times New Roman" w:hAnsi="Times New Roman" w:cs="Times New Roman"/>
          <w:sz w:val="24"/>
          <w:szCs w:val="24"/>
        </w:rPr>
        <w:t xml:space="preserve"> “What do I do with my current company 401k retirement to better my future financial outcome?”  As individuals look to live comfortable lives during retirement, it is important to strategically plan</w:t>
      </w:r>
      <w:r w:rsidR="004356CE" w:rsidRPr="00A40AD3">
        <w:rPr>
          <w:rFonts w:ascii="Times New Roman" w:hAnsi="Times New Roman" w:cs="Times New Roman"/>
          <w:sz w:val="24"/>
          <w:szCs w:val="24"/>
        </w:rPr>
        <w:t xml:space="preserve"> as well as understand</w:t>
      </w:r>
      <w:r w:rsidRPr="00A40AD3">
        <w:rPr>
          <w:rFonts w:ascii="Times New Roman" w:hAnsi="Times New Roman" w:cs="Times New Roman"/>
          <w:sz w:val="24"/>
          <w:szCs w:val="24"/>
        </w:rPr>
        <w:t xml:space="preserve"> how to take your current</w:t>
      </w:r>
      <w:r w:rsidR="004356CE" w:rsidRPr="00A40AD3">
        <w:rPr>
          <w:rFonts w:ascii="Times New Roman" w:hAnsi="Times New Roman" w:cs="Times New Roman"/>
          <w:sz w:val="24"/>
          <w:szCs w:val="24"/>
        </w:rPr>
        <w:t xml:space="preserve"> financial standing or previous</w:t>
      </w:r>
      <w:r w:rsidRPr="00A40AD3">
        <w:rPr>
          <w:rFonts w:ascii="Times New Roman" w:hAnsi="Times New Roman" w:cs="Times New Roman"/>
          <w:sz w:val="24"/>
          <w:szCs w:val="24"/>
        </w:rPr>
        <w:t xml:space="preserve"> retirement and ha</w:t>
      </w:r>
      <w:r w:rsidR="004356CE" w:rsidRPr="00A40AD3">
        <w:rPr>
          <w:rFonts w:ascii="Times New Roman" w:hAnsi="Times New Roman" w:cs="Times New Roman"/>
          <w:sz w:val="24"/>
          <w:szCs w:val="24"/>
        </w:rPr>
        <w:t>ve the ability to invest</w:t>
      </w:r>
      <w:r w:rsidRPr="00A40AD3">
        <w:rPr>
          <w:rFonts w:ascii="Times New Roman" w:hAnsi="Times New Roman" w:cs="Times New Roman"/>
          <w:sz w:val="24"/>
          <w:szCs w:val="24"/>
        </w:rPr>
        <w:t xml:space="preserve"> with minimal monetary consequences especially those from taxes.  In deciding the various routes to take in optimizing your retirement, having knowledge of the different retirement vehicles and their tax consequences and benefits as well as the negative implications of early withdrawal it is vitally important to understand in making the ultimate decision on your future retirement.  Whether you are going to roll over your current 401</w:t>
      </w:r>
      <w:r w:rsidR="007C43C8" w:rsidRPr="00A40AD3">
        <w:rPr>
          <w:rFonts w:ascii="Times New Roman" w:hAnsi="Times New Roman" w:cs="Times New Roman"/>
          <w:sz w:val="24"/>
          <w:szCs w:val="24"/>
        </w:rPr>
        <w:t>k into a Traditional IRA, Initially invest in a Traditional or Roth IRA</w:t>
      </w:r>
      <w:r w:rsidRPr="00A40AD3">
        <w:rPr>
          <w:rFonts w:ascii="Times New Roman" w:hAnsi="Times New Roman" w:cs="Times New Roman"/>
          <w:sz w:val="24"/>
          <w:szCs w:val="24"/>
        </w:rPr>
        <w:t xml:space="preserve">, or withdrawal those acquired </w:t>
      </w:r>
      <w:r w:rsidR="00AA756E" w:rsidRPr="00A40AD3">
        <w:rPr>
          <w:rFonts w:ascii="Times New Roman" w:hAnsi="Times New Roman" w:cs="Times New Roman"/>
          <w:sz w:val="24"/>
          <w:szCs w:val="24"/>
        </w:rPr>
        <w:t xml:space="preserve">funds early, understanding the fees and taxes of each option as well as the benefits or negatives and drawbacks can help you in deciding the best plan to reach your future financial goals.  </w:t>
      </w:r>
      <w:r w:rsidR="004356CE" w:rsidRPr="00A40AD3">
        <w:rPr>
          <w:rFonts w:ascii="Times New Roman" w:hAnsi="Times New Roman" w:cs="Times New Roman"/>
          <w:sz w:val="24"/>
          <w:szCs w:val="24"/>
        </w:rPr>
        <w:t>Though there are many investments that individuals can undertake, an individual retirement account eithe</w:t>
      </w:r>
      <w:r w:rsidR="004B560B" w:rsidRPr="00A40AD3">
        <w:rPr>
          <w:rFonts w:ascii="Times New Roman" w:hAnsi="Times New Roman" w:cs="Times New Roman"/>
          <w:sz w:val="24"/>
          <w:szCs w:val="24"/>
        </w:rPr>
        <w:t>r traditional or Roth</w:t>
      </w:r>
      <w:r w:rsidR="004356CE" w:rsidRPr="00A40AD3">
        <w:rPr>
          <w:rFonts w:ascii="Times New Roman" w:hAnsi="Times New Roman" w:cs="Times New Roman"/>
          <w:sz w:val="24"/>
          <w:szCs w:val="24"/>
        </w:rPr>
        <w:t xml:space="preserve"> gives people the ability to contribute with tax benefits that can maximize the investment. </w:t>
      </w:r>
    </w:p>
    <w:p w:rsidR="000E65D9" w:rsidRPr="00A40AD3" w:rsidRDefault="000E65D9" w:rsidP="000E65D9">
      <w:pPr>
        <w:spacing w:line="480" w:lineRule="auto"/>
        <w:contextualSpacing/>
        <w:rPr>
          <w:rFonts w:ascii="Times New Roman" w:hAnsi="Times New Roman" w:cs="Times New Roman"/>
          <w:b/>
          <w:sz w:val="24"/>
          <w:szCs w:val="24"/>
        </w:rPr>
      </w:pPr>
      <w:r w:rsidRPr="00A40AD3">
        <w:rPr>
          <w:rFonts w:ascii="Times New Roman" w:hAnsi="Times New Roman" w:cs="Times New Roman"/>
          <w:b/>
          <w:sz w:val="24"/>
          <w:szCs w:val="24"/>
        </w:rPr>
        <w:t>Traditional IRA</w:t>
      </w:r>
    </w:p>
    <w:p w:rsidR="00D92EF3" w:rsidRPr="00A40AD3" w:rsidRDefault="004B560B" w:rsidP="004C643F">
      <w:pPr>
        <w:spacing w:line="480" w:lineRule="auto"/>
        <w:ind w:firstLine="720"/>
        <w:contextualSpacing/>
        <w:rPr>
          <w:rFonts w:ascii="Times New Roman" w:hAnsi="Times New Roman" w:cs="Times New Roman"/>
          <w:sz w:val="24"/>
          <w:szCs w:val="24"/>
        </w:rPr>
      </w:pPr>
      <w:r w:rsidRPr="00A40AD3">
        <w:rPr>
          <w:rFonts w:ascii="Times New Roman" w:hAnsi="Times New Roman" w:cs="Times New Roman"/>
          <w:sz w:val="24"/>
          <w:szCs w:val="24"/>
        </w:rPr>
        <w:t xml:space="preserve">The original purpose of the IRA was to provide an option for employees without a company pension plan to save tax-deferred money for their retirement (Reichert).  The Traditional IRA allows individuals to contribute to the account tax free as well as receive tax free </w:t>
      </w:r>
      <w:r w:rsidRPr="00A40AD3">
        <w:rPr>
          <w:rFonts w:ascii="Times New Roman" w:hAnsi="Times New Roman" w:cs="Times New Roman"/>
          <w:sz w:val="24"/>
          <w:szCs w:val="24"/>
        </w:rPr>
        <w:lastRenderedPageBreak/>
        <w:t xml:space="preserve">returns from the investment.  This method however is taxed when the funds are withdrawn at the </w:t>
      </w:r>
      <w:r w:rsidR="00BD5464" w:rsidRPr="00A40AD3">
        <w:rPr>
          <w:rFonts w:ascii="Times New Roman" w:hAnsi="Times New Roman" w:cs="Times New Roman"/>
          <w:sz w:val="24"/>
          <w:szCs w:val="24"/>
        </w:rPr>
        <w:t>taxpayer’s future rate at the time of withdraw.  Investors of Traditional IRA’s can begin withdrawing from their funds at the age of 59 ½.  One caveat however is that</w:t>
      </w:r>
      <w:r w:rsidR="003410EC" w:rsidRPr="00A40AD3">
        <w:rPr>
          <w:rFonts w:ascii="Times New Roman" w:hAnsi="Times New Roman" w:cs="Times New Roman"/>
          <w:sz w:val="24"/>
          <w:szCs w:val="24"/>
        </w:rPr>
        <w:t xml:space="preserve"> using retirement plan</w:t>
      </w:r>
      <w:r w:rsidR="00BD5464" w:rsidRPr="00A40AD3">
        <w:rPr>
          <w:rFonts w:ascii="Times New Roman" w:hAnsi="Times New Roman" w:cs="Times New Roman"/>
          <w:sz w:val="24"/>
          <w:szCs w:val="24"/>
        </w:rPr>
        <w:t xml:space="preserve"> funds </w:t>
      </w:r>
      <w:r w:rsidR="00125B29" w:rsidRPr="00A40AD3">
        <w:rPr>
          <w:rFonts w:ascii="Times New Roman" w:hAnsi="Times New Roman" w:cs="Times New Roman"/>
          <w:sz w:val="24"/>
          <w:szCs w:val="24"/>
        </w:rPr>
        <w:t xml:space="preserve">from either the Traditional or Roth account </w:t>
      </w:r>
      <w:r w:rsidR="003410EC" w:rsidRPr="00A40AD3">
        <w:rPr>
          <w:rFonts w:ascii="Times New Roman" w:hAnsi="Times New Roman" w:cs="Times New Roman"/>
          <w:sz w:val="24"/>
          <w:szCs w:val="24"/>
        </w:rPr>
        <w:t>before the age of 59 ½,</w:t>
      </w:r>
      <w:r w:rsidR="00BD5464" w:rsidRPr="00A40AD3">
        <w:rPr>
          <w:rFonts w:ascii="Times New Roman" w:hAnsi="Times New Roman" w:cs="Times New Roman"/>
          <w:sz w:val="24"/>
          <w:szCs w:val="24"/>
        </w:rPr>
        <w:t xml:space="preserve"> the stated age</w:t>
      </w:r>
      <w:r w:rsidR="003410EC" w:rsidRPr="00A40AD3">
        <w:rPr>
          <w:rFonts w:ascii="Times New Roman" w:hAnsi="Times New Roman" w:cs="Times New Roman"/>
          <w:sz w:val="24"/>
          <w:szCs w:val="24"/>
        </w:rPr>
        <w:t>, is complicated by Internal Revenue Code section 72 (t).</w:t>
      </w:r>
      <w:r w:rsidR="00125B29" w:rsidRPr="00A40AD3">
        <w:rPr>
          <w:rFonts w:ascii="Times New Roman" w:hAnsi="Times New Roman" w:cs="Times New Roman"/>
          <w:sz w:val="24"/>
          <w:szCs w:val="24"/>
        </w:rPr>
        <w:t xml:space="preserve"> If, for instance, an individual borrows money from a retirement account, it will cease to be an </w:t>
      </w:r>
      <w:r w:rsidR="00125B29" w:rsidRPr="00A40AD3">
        <w:rPr>
          <w:rStyle w:val="docsearchterm"/>
          <w:rFonts w:ascii="Times New Roman" w:hAnsi="Times New Roman" w:cs="Times New Roman"/>
          <w:sz w:val="24"/>
          <w:szCs w:val="24"/>
        </w:rPr>
        <w:t>individual</w:t>
      </w:r>
      <w:r w:rsidR="00125B29" w:rsidRPr="00A40AD3">
        <w:rPr>
          <w:rFonts w:ascii="Times New Roman" w:hAnsi="Times New Roman" w:cs="Times New Roman"/>
          <w:sz w:val="24"/>
          <w:szCs w:val="24"/>
        </w:rPr>
        <w:t xml:space="preserve"> </w:t>
      </w:r>
      <w:r w:rsidR="00125B29" w:rsidRPr="00A40AD3">
        <w:rPr>
          <w:rStyle w:val="docsearchterm"/>
          <w:rFonts w:ascii="Times New Roman" w:hAnsi="Times New Roman" w:cs="Times New Roman"/>
          <w:sz w:val="24"/>
          <w:szCs w:val="24"/>
        </w:rPr>
        <w:t>retirement</w:t>
      </w:r>
      <w:r w:rsidR="00125B29" w:rsidRPr="00A40AD3">
        <w:rPr>
          <w:rFonts w:ascii="Times New Roman" w:hAnsi="Times New Roman" w:cs="Times New Roman"/>
          <w:sz w:val="24"/>
          <w:szCs w:val="24"/>
        </w:rPr>
        <w:t xml:space="preserve"> </w:t>
      </w:r>
      <w:r w:rsidR="00125B29" w:rsidRPr="00A40AD3">
        <w:rPr>
          <w:rStyle w:val="docsearchterm"/>
          <w:rFonts w:ascii="Times New Roman" w:hAnsi="Times New Roman" w:cs="Times New Roman"/>
          <w:sz w:val="24"/>
          <w:szCs w:val="24"/>
        </w:rPr>
        <w:t>account</w:t>
      </w:r>
      <w:r w:rsidR="00125B29" w:rsidRPr="00A40AD3">
        <w:rPr>
          <w:rFonts w:ascii="Times New Roman" w:hAnsi="Times New Roman" w:cs="Times New Roman"/>
          <w:sz w:val="24"/>
          <w:szCs w:val="24"/>
        </w:rPr>
        <w:t xml:space="preserve"> as of the first day of the tax year when the loan was made. This will trigger a constructive distribution to the individual of the value of all the assets of the account as of the first day of the tax year. This amount is taxed as ordinary income and may be subject to the 10-</w:t>
      </w:r>
      <w:r w:rsidR="00774FC1">
        <w:rPr>
          <w:rFonts w:ascii="Times New Roman" w:hAnsi="Times New Roman" w:cs="Times New Roman"/>
          <w:sz w:val="24"/>
          <w:szCs w:val="24"/>
        </w:rPr>
        <w:t>percent penalty tax explained in the internal revenue code</w:t>
      </w:r>
      <w:r w:rsidR="00AE37DF" w:rsidRPr="00A40AD3">
        <w:rPr>
          <w:rStyle w:val="FootnoteReference"/>
          <w:rFonts w:ascii="Times New Roman" w:hAnsi="Times New Roman" w:cs="Times New Roman"/>
          <w:sz w:val="24"/>
          <w:szCs w:val="24"/>
        </w:rPr>
        <w:footnoteReference w:id="1"/>
      </w:r>
      <w:r w:rsidR="00774FC1">
        <w:rPr>
          <w:rFonts w:ascii="Times New Roman" w:hAnsi="Times New Roman" w:cs="Times New Roman"/>
          <w:sz w:val="24"/>
          <w:szCs w:val="24"/>
        </w:rPr>
        <w:t>. There are some e</w:t>
      </w:r>
      <w:r w:rsidR="003410EC" w:rsidRPr="00A40AD3">
        <w:rPr>
          <w:rFonts w:ascii="Times New Roman" w:hAnsi="Times New Roman" w:cs="Times New Roman"/>
          <w:sz w:val="24"/>
          <w:szCs w:val="24"/>
        </w:rPr>
        <w:t xml:space="preserve">xceptions allowed by the IRC </w:t>
      </w:r>
      <w:r w:rsidR="00774FC1">
        <w:rPr>
          <w:rFonts w:ascii="Times New Roman" w:hAnsi="Times New Roman" w:cs="Times New Roman"/>
          <w:sz w:val="24"/>
          <w:szCs w:val="24"/>
        </w:rPr>
        <w:t>is</w:t>
      </w:r>
      <w:r w:rsidR="00771841" w:rsidRPr="00A40AD3">
        <w:rPr>
          <w:rFonts w:ascii="Times New Roman" w:hAnsi="Times New Roman" w:cs="Times New Roman"/>
          <w:sz w:val="24"/>
          <w:szCs w:val="24"/>
        </w:rPr>
        <w:t xml:space="preserve"> to withdraw from the account which allows</w:t>
      </w:r>
      <w:r w:rsidR="00EB5A62" w:rsidRPr="00A40AD3">
        <w:rPr>
          <w:rFonts w:ascii="Times New Roman" w:hAnsi="Times New Roman" w:cs="Times New Roman"/>
          <w:sz w:val="24"/>
          <w:szCs w:val="24"/>
        </w:rPr>
        <w:t xml:space="preserve"> the investor </w:t>
      </w:r>
      <w:r w:rsidR="00BD5464" w:rsidRPr="00A40AD3">
        <w:rPr>
          <w:rFonts w:ascii="Times New Roman" w:hAnsi="Times New Roman" w:cs="Times New Roman"/>
          <w:sz w:val="24"/>
          <w:szCs w:val="24"/>
        </w:rPr>
        <w:t>to pull funds f</w:t>
      </w:r>
      <w:r w:rsidR="00EB5A62" w:rsidRPr="00A40AD3">
        <w:rPr>
          <w:rFonts w:ascii="Times New Roman" w:hAnsi="Times New Roman" w:cs="Times New Roman"/>
          <w:sz w:val="24"/>
          <w:szCs w:val="24"/>
        </w:rPr>
        <w:t>rom the retirement</w:t>
      </w:r>
      <w:r w:rsidR="00774FC1">
        <w:rPr>
          <w:rFonts w:ascii="Times New Roman" w:hAnsi="Times New Roman" w:cs="Times New Roman"/>
          <w:sz w:val="24"/>
          <w:szCs w:val="24"/>
        </w:rPr>
        <w:t xml:space="preserve"> without penalty</w:t>
      </w:r>
      <w:r w:rsidR="00EB5A62" w:rsidRPr="00A40AD3">
        <w:rPr>
          <w:rFonts w:ascii="Times New Roman" w:hAnsi="Times New Roman" w:cs="Times New Roman"/>
          <w:sz w:val="24"/>
          <w:szCs w:val="24"/>
        </w:rPr>
        <w:t xml:space="preserve"> if</w:t>
      </w:r>
      <w:r w:rsidR="00BD5464" w:rsidRPr="00A40AD3">
        <w:rPr>
          <w:rFonts w:ascii="Times New Roman" w:hAnsi="Times New Roman" w:cs="Times New Roman"/>
          <w:sz w:val="24"/>
          <w:szCs w:val="24"/>
        </w:rPr>
        <w:t xml:space="preserve"> the use of the funds is for higher education expenses, health insurance premiums</w:t>
      </w:r>
      <w:r w:rsidR="00EB5A62" w:rsidRPr="00A40AD3">
        <w:rPr>
          <w:rFonts w:ascii="Times New Roman" w:hAnsi="Times New Roman" w:cs="Times New Roman"/>
          <w:sz w:val="24"/>
          <w:szCs w:val="24"/>
        </w:rPr>
        <w:t>,</w:t>
      </w:r>
      <w:r w:rsidR="00BD5464" w:rsidRPr="00A40AD3">
        <w:rPr>
          <w:rFonts w:ascii="Times New Roman" w:hAnsi="Times New Roman" w:cs="Times New Roman"/>
          <w:sz w:val="24"/>
          <w:szCs w:val="24"/>
        </w:rPr>
        <w:t xml:space="preserve"> or down payments on homes for first time buyers</w:t>
      </w:r>
      <w:r w:rsidR="003410EC" w:rsidRPr="00A40AD3">
        <w:rPr>
          <w:rFonts w:ascii="Times New Roman" w:hAnsi="Times New Roman" w:cs="Times New Roman"/>
          <w:sz w:val="24"/>
          <w:szCs w:val="24"/>
        </w:rPr>
        <w:t xml:space="preserve"> (</w:t>
      </w:r>
      <w:proofErr w:type="spellStart"/>
      <w:r w:rsidR="003410EC" w:rsidRPr="00A40AD3">
        <w:rPr>
          <w:rFonts w:ascii="Times New Roman" w:hAnsi="Times New Roman" w:cs="Times New Roman"/>
          <w:sz w:val="24"/>
          <w:szCs w:val="24"/>
        </w:rPr>
        <w:t>Tannahill</w:t>
      </w:r>
      <w:proofErr w:type="spellEnd"/>
      <w:r w:rsidR="003410EC" w:rsidRPr="00A40AD3">
        <w:rPr>
          <w:rFonts w:ascii="Times New Roman" w:hAnsi="Times New Roman" w:cs="Times New Roman"/>
          <w:sz w:val="24"/>
          <w:szCs w:val="24"/>
        </w:rPr>
        <w:t>)</w:t>
      </w:r>
      <w:r w:rsidR="00BD5464" w:rsidRPr="00A40AD3">
        <w:rPr>
          <w:rFonts w:ascii="Times New Roman" w:hAnsi="Times New Roman" w:cs="Times New Roman"/>
          <w:sz w:val="24"/>
          <w:szCs w:val="24"/>
        </w:rPr>
        <w:t>.</w:t>
      </w:r>
      <w:r w:rsidR="00774FC1">
        <w:rPr>
          <w:rFonts w:ascii="Times New Roman" w:hAnsi="Times New Roman" w:cs="Times New Roman"/>
          <w:sz w:val="24"/>
          <w:szCs w:val="24"/>
        </w:rPr>
        <w:t xml:space="preserve">  In terms of contributions to an IRA,</w:t>
      </w:r>
      <w:r w:rsidR="00BD5464" w:rsidRPr="00A40AD3">
        <w:rPr>
          <w:rFonts w:ascii="Times New Roman" w:hAnsi="Times New Roman" w:cs="Times New Roman"/>
          <w:sz w:val="24"/>
          <w:szCs w:val="24"/>
        </w:rPr>
        <w:t xml:space="preserve"> there is a limit</w:t>
      </w:r>
      <w:r w:rsidR="00771841" w:rsidRPr="00A40AD3">
        <w:rPr>
          <w:rFonts w:ascii="Times New Roman" w:hAnsi="Times New Roman" w:cs="Times New Roman"/>
          <w:sz w:val="24"/>
          <w:szCs w:val="24"/>
        </w:rPr>
        <w:t xml:space="preserve"> of $5,500</w:t>
      </w:r>
      <w:r w:rsidR="00774FC1">
        <w:rPr>
          <w:rFonts w:ascii="Times New Roman" w:hAnsi="Times New Roman" w:cs="Times New Roman"/>
          <w:sz w:val="24"/>
          <w:szCs w:val="24"/>
        </w:rPr>
        <w:t xml:space="preserve"> per year</w:t>
      </w:r>
      <w:r w:rsidR="00BD5464" w:rsidRPr="00A40AD3">
        <w:rPr>
          <w:rFonts w:ascii="Times New Roman" w:hAnsi="Times New Roman" w:cs="Times New Roman"/>
          <w:sz w:val="24"/>
          <w:szCs w:val="24"/>
        </w:rPr>
        <w:t xml:space="preserve"> to the amount that investors can </w:t>
      </w:r>
      <w:r w:rsidR="00771841" w:rsidRPr="00A40AD3">
        <w:rPr>
          <w:rFonts w:ascii="Times New Roman" w:hAnsi="Times New Roman" w:cs="Times New Roman"/>
          <w:sz w:val="24"/>
          <w:szCs w:val="24"/>
        </w:rPr>
        <w:t>contribute to the account.  Individuals at or over the age of 50 can contribute an additional $1,000 which allows the ability to catch-up</w:t>
      </w:r>
      <w:r w:rsidR="00EB5A62" w:rsidRPr="00A40AD3">
        <w:rPr>
          <w:rFonts w:ascii="Times New Roman" w:hAnsi="Times New Roman" w:cs="Times New Roman"/>
          <w:sz w:val="24"/>
          <w:szCs w:val="24"/>
        </w:rPr>
        <w:t xml:space="preserve"> on</w:t>
      </w:r>
      <w:r w:rsidR="00771841" w:rsidRPr="00A40AD3">
        <w:rPr>
          <w:rFonts w:ascii="Times New Roman" w:hAnsi="Times New Roman" w:cs="Times New Roman"/>
          <w:sz w:val="24"/>
          <w:szCs w:val="24"/>
        </w:rPr>
        <w:t xml:space="preserve"> contributions</w:t>
      </w:r>
      <w:r w:rsidR="00EB5A62" w:rsidRPr="00A40AD3">
        <w:rPr>
          <w:rFonts w:ascii="Times New Roman" w:hAnsi="Times New Roman" w:cs="Times New Roman"/>
          <w:sz w:val="24"/>
          <w:szCs w:val="24"/>
        </w:rPr>
        <w:t xml:space="preserve"> (Jones)</w:t>
      </w:r>
      <w:r w:rsidR="00771841" w:rsidRPr="00A40AD3">
        <w:rPr>
          <w:rFonts w:ascii="Times New Roman" w:hAnsi="Times New Roman" w:cs="Times New Roman"/>
          <w:sz w:val="24"/>
          <w:szCs w:val="24"/>
        </w:rPr>
        <w:t>. This contribution limit is also dependent on the status of the contributor either being single or contributing jointly.  The total amount of contribution depends on the combined compensation income.</w:t>
      </w:r>
      <w:r w:rsidR="007C43C8" w:rsidRPr="00A40AD3">
        <w:rPr>
          <w:rFonts w:ascii="Times New Roman" w:hAnsi="Times New Roman" w:cs="Times New Roman"/>
          <w:sz w:val="24"/>
          <w:szCs w:val="24"/>
        </w:rPr>
        <w:t xml:space="preserve"> Section 219 of the IRC states, married individuals filing separate returns are subject to special restrictions regarding IRA contributions.  However, such individuals who live apart at all times during a taxable year are considered single taxpayers for IRA purposes</w:t>
      </w:r>
      <w:r w:rsidR="00AE37DF" w:rsidRPr="00A40AD3">
        <w:rPr>
          <w:rStyle w:val="FootnoteReference"/>
          <w:rFonts w:ascii="Times New Roman" w:hAnsi="Times New Roman" w:cs="Times New Roman"/>
          <w:sz w:val="24"/>
          <w:szCs w:val="24"/>
        </w:rPr>
        <w:footnoteReference w:id="2"/>
      </w:r>
      <w:r w:rsidR="007C43C8" w:rsidRPr="00A40AD3">
        <w:rPr>
          <w:rFonts w:ascii="Times New Roman" w:hAnsi="Times New Roman" w:cs="Times New Roman"/>
          <w:sz w:val="24"/>
          <w:szCs w:val="24"/>
        </w:rPr>
        <w:t>.</w:t>
      </w:r>
      <w:r w:rsidR="00EB5A62" w:rsidRPr="00A40AD3">
        <w:rPr>
          <w:rFonts w:ascii="Times New Roman" w:hAnsi="Times New Roman" w:cs="Times New Roman"/>
          <w:sz w:val="24"/>
          <w:szCs w:val="24"/>
        </w:rPr>
        <w:t xml:space="preserve">  </w:t>
      </w:r>
      <w:r w:rsidR="007C43C8" w:rsidRPr="00A40AD3">
        <w:rPr>
          <w:rFonts w:ascii="Times New Roman" w:hAnsi="Times New Roman" w:cs="Times New Roman"/>
          <w:sz w:val="24"/>
          <w:szCs w:val="24"/>
        </w:rPr>
        <w:t>As an alternative option, i</w:t>
      </w:r>
      <w:r w:rsidR="00EB5A62" w:rsidRPr="00A40AD3">
        <w:rPr>
          <w:rFonts w:ascii="Times New Roman" w:hAnsi="Times New Roman" w:cs="Times New Roman"/>
          <w:sz w:val="24"/>
          <w:szCs w:val="24"/>
        </w:rPr>
        <w:t xml:space="preserve">f you are in a higher tax rate at the time you begin </w:t>
      </w:r>
      <w:r w:rsidR="00EB5A62" w:rsidRPr="00A40AD3">
        <w:rPr>
          <w:rFonts w:ascii="Times New Roman" w:hAnsi="Times New Roman" w:cs="Times New Roman"/>
          <w:sz w:val="24"/>
          <w:szCs w:val="24"/>
        </w:rPr>
        <w:lastRenderedPageBreak/>
        <w:t>contribution to a Traditional IRA, it may be more profitable and advantageous to consider a Roth IRA (Where to put Retirement Savings).</w:t>
      </w:r>
    </w:p>
    <w:p w:rsidR="000E65D9" w:rsidRPr="00A40AD3" w:rsidRDefault="000E65D9" w:rsidP="00DE3EE1">
      <w:pPr>
        <w:spacing w:line="480" w:lineRule="auto"/>
        <w:contextualSpacing/>
        <w:rPr>
          <w:rFonts w:ascii="Times New Roman" w:hAnsi="Times New Roman" w:cs="Times New Roman"/>
          <w:b/>
          <w:sz w:val="24"/>
          <w:szCs w:val="24"/>
        </w:rPr>
      </w:pPr>
      <w:r w:rsidRPr="00A40AD3">
        <w:rPr>
          <w:rFonts w:ascii="Times New Roman" w:hAnsi="Times New Roman" w:cs="Times New Roman"/>
          <w:b/>
          <w:sz w:val="24"/>
          <w:szCs w:val="24"/>
        </w:rPr>
        <w:t>Roth IRA</w:t>
      </w:r>
    </w:p>
    <w:p w:rsidR="00963872" w:rsidRPr="00A40AD3" w:rsidRDefault="00EB5A62" w:rsidP="00EB5A62">
      <w:pPr>
        <w:spacing w:line="480" w:lineRule="auto"/>
        <w:ind w:firstLine="720"/>
        <w:contextualSpacing/>
        <w:rPr>
          <w:rFonts w:ascii="Times New Roman" w:hAnsi="Times New Roman" w:cs="Times New Roman"/>
          <w:sz w:val="24"/>
          <w:szCs w:val="24"/>
        </w:rPr>
      </w:pPr>
      <w:r w:rsidRPr="00A40AD3">
        <w:rPr>
          <w:rFonts w:ascii="Times New Roman" w:hAnsi="Times New Roman" w:cs="Times New Roman"/>
          <w:sz w:val="24"/>
          <w:szCs w:val="24"/>
        </w:rPr>
        <w:t>The key difference between the Traditional IRA and the Roth IRA is the impact of income taxes (Reichert).</w:t>
      </w:r>
      <w:r w:rsidR="00EA5E60" w:rsidRPr="00A40AD3">
        <w:rPr>
          <w:rFonts w:ascii="Times New Roman" w:hAnsi="Times New Roman" w:cs="Times New Roman"/>
          <w:sz w:val="24"/>
          <w:szCs w:val="24"/>
        </w:rPr>
        <w:t xml:space="preserve">  As mentioned, Traditional IRA’s are taxed when withdrawn, conversely, Roth IRA’s are taxed during contribution though are tax free when taken out.  This is beneficial to investors who are taxed at a lower rate and expect to be placed in a higher tax bracket when the funds are removed in the future.</w:t>
      </w:r>
      <w:r w:rsidR="0010089D" w:rsidRPr="00A40AD3">
        <w:rPr>
          <w:rFonts w:ascii="Times New Roman" w:hAnsi="Times New Roman" w:cs="Times New Roman"/>
          <w:sz w:val="24"/>
          <w:szCs w:val="24"/>
        </w:rPr>
        <w:t xml:space="preserve">  </w:t>
      </w:r>
      <w:r w:rsidR="00125B29" w:rsidRPr="00A40AD3">
        <w:rPr>
          <w:rFonts w:ascii="Times New Roman" w:hAnsi="Times New Roman" w:cs="Times New Roman"/>
          <w:sz w:val="24"/>
          <w:szCs w:val="24"/>
        </w:rPr>
        <w:t>Contributions</w:t>
      </w:r>
      <w:r w:rsidR="0010089D" w:rsidRPr="00A40AD3">
        <w:rPr>
          <w:rFonts w:ascii="Times New Roman" w:hAnsi="Times New Roman" w:cs="Times New Roman"/>
          <w:sz w:val="24"/>
          <w:szCs w:val="24"/>
        </w:rPr>
        <w:t xml:space="preserve"> to Roth IRAs are subject to one simple rule:  Such contributions are not deductible and therefore consist of only after tax dollars (Jones)</w:t>
      </w:r>
      <w:r w:rsidR="00757AF9" w:rsidRPr="00A40AD3">
        <w:rPr>
          <w:rStyle w:val="FootnoteReference"/>
          <w:rFonts w:ascii="Times New Roman" w:hAnsi="Times New Roman" w:cs="Times New Roman"/>
          <w:sz w:val="24"/>
          <w:szCs w:val="24"/>
        </w:rPr>
        <w:footnoteReference w:id="3"/>
      </w:r>
      <w:r w:rsidR="000E65D9" w:rsidRPr="00A40AD3">
        <w:rPr>
          <w:rFonts w:ascii="Times New Roman" w:hAnsi="Times New Roman" w:cs="Times New Roman"/>
          <w:sz w:val="24"/>
          <w:szCs w:val="24"/>
        </w:rPr>
        <w:t>.</w:t>
      </w:r>
      <w:r w:rsidR="00EA5E60" w:rsidRPr="00A40AD3">
        <w:rPr>
          <w:rFonts w:ascii="Times New Roman" w:hAnsi="Times New Roman" w:cs="Times New Roman"/>
          <w:sz w:val="24"/>
          <w:szCs w:val="24"/>
        </w:rPr>
        <w:t xml:space="preserve">  Unless there is a dramatic decrease in the tax bracket one expects to be in during their retirement years, the investor would have more money available for their retirement from investing in a Roth IRA.  The Roth IRA has similar stipulations to the age maturity at the age of 59 ½.  Though with the Traditional IRA the individual is required to start taking distributions, whether monthly or lump sums </w:t>
      </w:r>
      <w:r w:rsidR="003410EC" w:rsidRPr="00A40AD3">
        <w:rPr>
          <w:rFonts w:ascii="Times New Roman" w:hAnsi="Times New Roman" w:cs="Times New Roman"/>
          <w:sz w:val="24"/>
          <w:szCs w:val="24"/>
        </w:rPr>
        <w:t>at the age of 70 ½.</w:t>
      </w:r>
      <w:r w:rsidR="0010089D" w:rsidRPr="00A40AD3">
        <w:rPr>
          <w:rFonts w:ascii="Times New Roman" w:hAnsi="Times New Roman" w:cs="Times New Roman"/>
          <w:sz w:val="24"/>
          <w:szCs w:val="24"/>
        </w:rPr>
        <w:t xml:space="preserve">  As with the Roth IRA this age limit does not apply</w:t>
      </w:r>
      <w:r w:rsidR="00757AF9" w:rsidRPr="00A40AD3">
        <w:rPr>
          <w:rStyle w:val="FootnoteReference"/>
          <w:rFonts w:ascii="Times New Roman" w:hAnsi="Times New Roman" w:cs="Times New Roman"/>
          <w:sz w:val="24"/>
          <w:szCs w:val="24"/>
        </w:rPr>
        <w:footnoteReference w:id="4"/>
      </w:r>
      <w:r w:rsidR="0010089D" w:rsidRPr="00A40AD3">
        <w:rPr>
          <w:rFonts w:ascii="Times New Roman" w:hAnsi="Times New Roman" w:cs="Times New Roman"/>
          <w:sz w:val="24"/>
          <w:szCs w:val="24"/>
        </w:rPr>
        <w:t>.</w:t>
      </w:r>
      <w:r w:rsidR="003410EC" w:rsidRPr="00A40AD3">
        <w:rPr>
          <w:rFonts w:ascii="Times New Roman" w:hAnsi="Times New Roman" w:cs="Times New Roman"/>
          <w:sz w:val="24"/>
          <w:szCs w:val="24"/>
        </w:rPr>
        <w:t xml:space="preserve">  Another difference that the Roth IRA has is the ability for owners to pass on the accounts to heirs tax-free</w:t>
      </w:r>
      <w:r w:rsidR="00774FC1">
        <w:rPr>
          <w:rFonts w:ascii="Times New Roman" w:hAnsi="Times New Roman" w:cs="Times New Roman"/>
          <w:sz w:val="24"/>
          <w:szCs w:val="24"/>
        </w:rPr>
        <w:t xml:space="preserve"> while continuing to make contributions</w:t>
      </w:r>
      <w:r w:rsidR="003410EC" w:rsidRPr="00A40AD3">
        <w:rPr>
          <w:rFonts w:ascii="Times New Roman" w:hAnsi="Times New Roman" w:cs="Times New Roman"/>
          <w:sz w:val="24"/>
          <w:szCs w:val="24"/>
        </w:rPr>
        <w:t xml:space="preserve"> (Whe</w:t>
      </w:r>
      <w:r w:rsidR="00774FC1">
        <w:rPr>
          <w:rFonts w:ascii="Times New Roman" w:hAnsi="Times New Roman" w:cs="Times New Roman"/>
          <w:sz w:val="24"/>
          <w:szCs w:val="24"/>
        </w:rPr>
        <w:t>re to put Retirement Savings).  These differences between the two IRA options have many beneficial features.  It is for this reason that many individuals take advantage of the available option to rollover funds from a previous retirement investment account to an IRA.</w:t>
      </w:r>
    </w:p>
    <w:p w:rsidR="000E65D9" w:rsidRPr="00A40AD3" w:rsidRDefault="000E65D9" w:rsidP="000E65D9">
      <w:pPr>
        <w:spacing w:line="480" w:lineRule="auto"/>
        <w:contextualSpacing/>
        <w:rPr>
          <w:rFonts w:ascii="Times New Roman" w:hAnsi="Times New Roman" w:cs="Times New Roman"/>
          <w:b/>
          <w:sz w:val="24"/>
          <w:szCs w:val="24"/>
        </w:rPr>
      </w:pPr>
      <w:r w:rsidRPr="00A40AD3">
        <w:rPr>
          <w:rFonts w:ascii="Times New Roman" w:hAnsi="Times New Roman" w:cs="Times New Roman"/>
          <w:b/>
          <w:sz w:val="24"/>
          <w:szCs w:val="24"/>
        </w:rPr>
        <w:t>Rollover to a Traditional IRA</w:t>
      </w:r>
    </w:p>
    <w:p w:rsidR="00EB5A62" w:rsidRPr="00A40AD3" w:rsidRDefault="00963872" w:rsidP="00DD5AF8">
      <w:pPr>
        <w:spacing w:line="480" w:lineRule="auto"/>
        <w:ind w:firstLine="720"/>
        <w:contextualSpacing/>
        <w:rPr>
          <w:rFonts w:ascii="Times New Roman" w:hAnsi="Times New Roman" w:cs="Times New Roman"/>
          <w:sz w:val="24"/>
          <w:szCs w:val="24"/>
        </w:rPr>
      </w:pPr>
      <w:r w:rsidRPr="00A40AD3">
        <w:rPr>
          <w:rFonts w:ascii="Times New Roman" w:hAnsi="Times New Roman" w:cs="Times New Roman"/>
          <w:sz w:val="24"/>
          <w:szCs w:val="24"/>
        </w:rPr>
        <w:t>In terms of individuals who previously had an employer sponsored 401(k) retirement plan, they have the option to rollover the funds to a Traditional IRA with no tax effects.</w:t>
      </w:r>
      <w:r w:rsidR="00774FC1">
        <w:rPr>
          <w:rFonts w:ascii="Times New Roman" w:hAnsi="Times New Roman" w:cs="Times New Roman"/>
          <w:sz w:val="24"/>
          <w:szCs w:val="24"/>
        </w:rPr>
        <w:t xml:space="preserve">  </w:t>
      </w:r>
      <w:r w:rsidRPr="00A40AD3">
        <w:rPr>
          <w:rFonts w:ascii="Times New Roman" w:hAnsi="Times New Roman" w:cs="Times New Roman"/>
          <w:sz w:val="24"/>
          <w:szCs w:val="24"/>
        </w:rPr>
        <w:t xml:space="preserve">An </w:t>
      </w:r>
      <w:r w:rsidRPr="00A40AD3">
        <w:rPr>
          <w:rFonts w:ascii="Times New Roman" w:hAnsi="Times New Roman" w:cs="Times New Roman"/>
          <w:sz w:val="24"/>
          <w:szCs w:val="24"/>
        </w:rPr>
        <w:lastRenderedPageBreak/>
        <w:t xml:space="preserve">individual does not have the ability to rollover directly to a Roth IRA but does have the ability in </w:t>
      </w:r>
      <w:proofErr w:type="gramStart"/>
      <w:r w:rsidRPr="00A40AD3">
        <w:rPr>
          <w:rFonts w:ascii="Times New Roman" w:hAnsi="Times New Roman" w:cs="Times New Roman"/>
          <w:sz w:val="24"/>
          <w:szCs w:val="24"/>
        </w:rPr>
        <w:t>the</w:t>
      </w:r>
      <w:proofErr w:type="gramEnd"/>
      <w:r w:rsidRPr="00A40AD3">
        <w:rPr>
          <w:rFonts w:ascii="Times New Roman" w:hAnsi="Times New Roman" w:cs="Times New Roman"/>
          <w:sz w:val="24"/>
          <w:szCs w:val="24"/>
        </w:rPr>
        <w:t xml:space="preserve"> future to do so after rolling over into a Traditional IRA first.  When a rollover is performed the funds go directly from one bank or brokerage firm to another without the owner touching </w:t>
      </w:r>
      <w:r w:rsidR="00152E1C" w:rsidRPr="00A40AD3">
        <w:rPr>
          <w:rFonts w:ascii="Times New Roman" w:hAnsi="Times New Roman" w:cs="Times New Roman"/>
          <w:sz w:val="24"/>
          <w:szCs w:val="24"/>
        </w:rPr>
        <w:t>the money en route (</w:t>
      </w:r>
      <w:proofErr w:type="spellStart"/>
      <w:r w:rsidR="00152E1C" w:rsidRPr="00A40AD3">
        <w:rPr>
          <w:rFonts w:ascii="Times New Roman" w:hAnsi="Times New Roman" w:cs="Times New Roman"/>
          <w:sz w:val="24"/>
          <w:szCs w:val="24"/>
        </w:rPr>
        <w:t>Slotte</w:t>
      </w:r>
      <w:proofErr w:type="spellEnd"/>
      <w:r w:rsidR="00152E1C" w:rsidRPr="00A40AD3">
        <w:rPr>
          <w:rFonts w:ascii="Times New Roman" w:hAnsi="Times New Roman" w:cs="Times New Roman"/>
          <w:sz w:val="24"/>
          <w:szCs w:val="24"/>
        </w:rPr>
        <w:t>).</w:t>
      </w:r>
      <w:r w:rsidR="000E65D9" w:rsidRPr="00A40AD3">
        <w:rPr>
          <w:rFonts w:ascii="Times New Roman" w:hAnsi="Times New Roman" w:cs="Times New Roman"/>
          <w:sz w:val="24"/>
          <w:szCs w:val="24"/>
        </w:rPr>
        <w:t xml:space="preserve">  </w:t>
      </w:r>
      <w:r w:rsidR="00152E1C" w:rsidRPr="00A40AD3">
        <w:rPr>
          <w:rFonts w:ascii="Times New Roman" w:hAnsi="Times New Roman" w:cs="Times New Roman"/>
          <w:sz w:val="24"/>
          <w:szCs w:val="24"/>
        </w:rPr>
        <w:t>In</w:t>
      </w:r>
      <w:r w:rsidRPr="00A40AD3">
        <w:rPr>
          <w:rFonts w:ascii="Times New Roman" w:hAnsi="Times New Roman" w:cs="Times New Roman"/>
          <w:sz w:val="24"/>
          <w:szCs w:val="24"/>
        </w:rPr>
        <w:t xml:space="preserve"> carrying out a rollover of accounts</w:t>
      </w:r>
      <w:r w:rsidR="00152E1C" w:rsidRPr="00A40AD3">
        <w:rPr>
          <w:rFonts w:ascii="Times New Roman" w:hAnsi="Times New Roman" w:cs="Times New Roman"/>
          <w:sz w:val="24"/>
          <w:szCs w:val="24"/>
        </w:rPr>
        <w:t xml:space="preserve"> it</w:t>
      </w:r>
      <w:r w:rsidRPr="00A40AD3">
        <w:rPr>
          <w:rFonts w:ascii="Times New Roman" w:hAnsi="Times New Roman" w:cs="Times New Roman"/>
          <w:sz w:val="24"/>
          <w:szCs w:val="24"/>
        </w:rPr>
        <w:t xml:space="preserve"> allows the individual to continue buildin</w:t>
      </w:r>
      <w:r w:rsidR="00152E1C" w:rsidRPr="00A40AD3">
        <w:rPr>
          <w:rFonts w:ascii="Times New Roman" w:hAnsi="Times New Roman" w:cs="Times New Roman"/>
          <w:sz w:val="24"/>
          <w:szCs w:val="24"/>
        </w:rPr>
        <w:t>g and increasing the funds for retirement.  Rolling over to an IRA can also be beneficial due to the fact that many company sponsored retirement accounts are handled by human resources as opposed to a retirement plan professional who earns commission.  Additionally once an employee is no longer with the previous employer that persons account is most likely receiving very little attention</w:t>
      </w:r>
      <w:r w:rsidR="00125B29" w:rsidRPr="00A40AD3">
        <w:rPr>
          <w:rFonts w:ascii="Times New Roman" w:hAnsi="Times New Roman" w:cs="Times New Roman"/>
          <w:sz w:val="24"/>
          <w:szCs w:val="24"/>
        </w:rPr>
        <w:t xml:space="preserve"> (Drucker)</w:t>
      </w:r>
      <w:r w:rsidR="00152E1C" w:rsidRPr="00A40AD3">
        <w:rPr>
          <w:rFonts w:ascii="Times New Roman" w:hAnsi="Times New Roman" w:cs="Times New Roman"/>
          <w:sz w:val="24"/>
          <w:szCs w:val="24"/>
        </w:rPr>
        <w:t xml:space="preserve">.  Although there are many benefits to rolling over to </w:t>
      </w:r>
      <w:r w:rsidR="00FA461F" w:rsidRPr="00A40AD3">
        <w:rPr>
          <w:rFonts w:ascii="Times New Roman" w:hAnsi="Times New Roman" w:cs="Times New Roman"/>
          <w:sz w:val="24"/>
          <w:szCs w:val="24"/>
        </w:rPr>
        <w:t>an IRA, it may not be feasible i</w:t>
      </w:r>
      <w:r w:rsidR="00152E1C" w:rsidRPr="00A40AD3">
        <w:rPr>
          <w:rFonts w:ascii="Times New Roman" w:hAnsi="Times New Roman" w:cs="Times New Roman"/>
          <w:sz w:val="24"/>
          <w:szCs w:val="24"/>
        </w:rPr>
        <w:t>f there could be certain requirements that must be met in order to rollover from one account to another (Reichert).</w:t>
      </w:r>
      <w:r w:rsidR="00DD5AF8" w:rsidRPr="00A40AD3">
        <w:rPr>
          <w:rFonts w:ascii="Times New Roman" w:hAnsi="Times New Roman" w:cs="Times New Roman"/>
          <w:sz w:val="24"/>
          <w:szCs w:val="24"/>
        </w:rPr>
        <w:t xml:space="preserve">  Only eligible </w:t>
      </w:r>
      <w:r w:rsidR="00DD5AF8" w:rsidRPr="00A40AD3">
        <w:rPr>
          <w:rStyle w:val="docsearchterm"/>
          <w:rFonts w:ascii="Times New Roman" w:hAnsi="Times New Roman" w:cs="Times New Roman"/>
          <w:sz w:val="24"/>
          <w:szCs w:val="24"/>
        </w:rPr>
        <w:t>rollover</w:t>
      </w:r>
      <w:r w:rsidR="00DD5AF8" w:rsidRPr="00A40AD3">
        <w:rPr>
          <w:rFonts w:ascii="Times New Roman" w:hAnsi="Times New Roman" w:cs="Times New Roman"/>
          <w:sz w:val="24"/>
          <w:szCs w:val="24"/>
        </w:rPr>
        <w:t xml:space="preserve"> distributions may be rolled over in a tax-free transfer.  An eligible </w:t>
      </w:r>
      <w:r w:rsidR="00DD5AF8" w:rsidRPr="00A40AD3">
        <w:rPr>
          <w:rStyle w:val="docsearchterm"/>
          <w:rFonts w:ascii="Times New Roman" w:hAnsi="Times New Roman" w:cs="Times New Roman"/>
          <w:sz w:val="24"/>
          <w:szCs w:val="24"/>
        </w:rPr>
        <w:t>rollover</w:t>
      </w:r>
      <w:r w:rsidR="00DD5AF8" w:rsidRPr="00A40AD3">
        <w:rPr>
          <w:rFonts w:ascii="Times New Roman" w:hAnsi="Times New Roman" w:cs="Times New Roman"/>
          <w:sz w:val="24"/>
          <w:szCs w:val="24"/>
        </w:rPr>
        <w:t xml:space="preserve"> distribution is a distribution of all or any portion of the balance to the credit of an employee's account in a qualified plan</w:t>
      </w:r>
      <w:r w:rsidR="00774FC1">
        <w:rPr>
          <w:rFonts w:ascii="Times New Roman" w:hAnsi="Times New Roman" w:cs="Times New Roman"/>
          <w:sz w:val="24"/>
          <w:szCs w:val="24"/>
        </w:rPr>
        <w:t xml:space="preserve"> (Kluwer)</w:t>
      </w:r>
      <w:r w:rsidR="00DD5AF8" w:rsidRPr="00A40AD3">
        <w:rPr>
          <w:rFonts w:ascii="Times New Roman" w:hAnsi="Times New Roman" w:cs="Times New Roman"/>
          <w:sz w:val="24"/>
          <w:szCs w:val="24"/>
        </w:rPr>
        <w:t>.</w:t>
      </w:r>
      <w:bookmarkStart w:id="0" w:name="footfn#63"/>
      <w:bookmarkEnd w:id="0"/>
      <w:r w:rsidR="00DD5AF8" w:rsidRPr="00A40AD3">
        <w:rPr>
          <w:rFonts w:ascii="Times New Roman" w:hAnsi="Times New Roman" w:cs="Times New Roman"/>
          <w:sz w:val="24"/>
          <w:szCs w:val="24"/>
        </w:rPr>
        <w:t xml:space="preserve">  Certain distributions cannot be rolled over, including: corrective distributions; a distribution that is one of a series of substantially equal payments made at least once a year based on life expectancy or paid over a period of ten years or more; a required minimum distribution; a hardship distribution; a loan treated as a distribution; dividends on employer securities; permissible withdrawals from an eligible automatic contribution arrangement; and the cost of life insurance coverage treated as a deemed distribution</w:t>
      </w:r>
      <w:r w:rsidR="00757AF9" w:rsidRPr="00A40AD3">
        <w:rPr>
          <w:rStyle w:val="FootnoteReference"/>
          <w:rFonts w:ascii="Times New Roman" w:hAnsi="Times New Roman" w:cs="Times New Roman"/>
          <w:sz w:val="24"/>
          <w:szCs w:val="24"/>
        </w:rPr>
        <w:footnoteReference w:id="5"/>
      </w:r>
      <w:r w:rsidR="00DD5AF8" w:rsidRPr="00A40AD3">
        <w:rPr>
          <w:rFonts w:ascii="Times New Roman" w:hAnsi="Times New Roman" w:cs="Times New Roman"/>
          <w:sz w:val="24"/>
          <w:szCs w:val="24"/>
        </w:rPr>
        <w:t xml:space="preserve">.  Under all of these procedures, the untaxed portion of the account is recognized in income by the participant in the year of the </w:t>
      </w:r>
      <w:r w:rsidR="00DD5AF8" w:rsidRPr="00A40AD3">
        <w:rPr>
          <w:rStyle w:val="docsearchterm"/>
          <w:rFonts w:ascii="Times New Roman" w:hAnsi="Times New Roman" w:cs="Times New Roman"/>
          <w:sz w:val="24"/>
          <w:szCs w:val="24"/>
        </w:rPr>
        <w:t>rollover (Kluwer)</w:t>
      </w:r>
      <w:r w:rsidR="00DD5AF8" w:rsidRPr="00A40AD3">
        <w:rPr>
          <w:rFonts w:ascii="Times New Roman" w:hAnsi="Times New Roman" w:cs="Times New Roman"/>
          <w:sz w:val="24"/>
          <w:szCs w:val="24"/>
        </w:rPr>
        <w:t>.</w:t>
      </w:r>
      <w:r w:rsidR="00774FC1">
        <w:rPr>
          <w:rFonts w:ascii="Times New Roman" w:hAnsi="Times New Roman" w:cs="Times New Roman"/>
          <w:sz w:val="24"/>
          <w:szCs w:val="24"/>
        </w:rPr>
        <w:t xml:space="preserve">  For many investors, the option to withdraw funds </w:t>
      </w:r>
      <w:r w:rsidR="00331921">
        <w:rPr>
          <w:rFonts w:ascii="Times New Roman" w:hAnsi="Times New Roman" w:cs="Times New Roman"/>
          <w:sz w:val="24"/>
          <w:szCs w:val="24"/>
        </w:rPr>
        <w:t xml:space="preserve">from an IRA </w:t>
      </w:r>
      <w:r w:rsidR="00774FC1">
        <w:rPr>
          <w:rFonts w:ascii="Times New Roman" w:hAnsi="Times New Roman" w:cs="Times New Roman"/>
          <w:sz w:val="24"/>
          <w:szCs w:val="24"/>
        </w:rPr>
        <w:t>at maturity tax free</w:t>
      </w:r>
      <w:r w:rsidR="00331921">
        <w:rPr>
          <w:rFonts w:ascii="Times New Roman" w:hAnsi="Times New Roman" w:cs="Times New Roman"/>
          <w:sz w:val="24"/>
          <w:szCs w:val="24"/>
        </w:rPr>
        <w:t xml:space="preserve"> may in many instances be more productive and provide for higher value upon retirement.  </w:t>
      </w:r>
      <w:r w:rsidR="00331921">
        <w:rPr>
          <w:rFonts w:ascii="Times New Roman" w:hAnsi="Times New Roman" w:cs="Times New Roman"/>
          <w:sz w:val="24"/>
          <w:szCs w:val="24"/>
        </w:rPr>
        <w:lastRenderedPageBreak/>
        <w:t>Rolling over funds from a Traditional to a Roth IRA is a possibility that many investors can pursue.</w:t>
      </w:r>
    </w:p>
    <w:p w:rsidR="00D12174" w:rsidRPr="00A40AD3" w:rsidRDefault="00D12174" w:rsidP="00D12174">
      <w:pPr>
        <w:spacing w:line="480" w:lineRule="auto"/>
        <w:contextualSpacing/>
        <w:rPr>
          <w:rFonts w:ascii="Times New Roman" w:hAnsi="Times New Roman" w:cs="Times New Roman"/>
          <w:b/>
          <w:sz w:val="24"/>
          <w:szCs w:val="24"/>
        </w:rPr>
      </w:pPr>
      <w:r w:rsidRPr="00A40AD3">
        <w:rPr>
          <w:rFonts w:ascii="Times New Roman" w:hAnsi="Times New Roman" w:cs="Times New Roman"/>
          <w:b/>
          <w:sz w:val="24"/>
          <w:szCs w:val="24"/>
        </w:rPr>
        <w:t>Rollover of Traditional to Roth IRA</w:t>
      </w:r>
    </w:p>
    <w:p w:rsidR="00FA461F" w:rsidRPr="00A40AD3" w:rsidRDefault="00D12174" w:rsidP="00FA461F">
      <w:pPr>
        <w:spacing w:line="480" w:lineRule="auto"/>
        <w:contextualSpacing/>
        <w:rPr>
          <w:rFonts w:ascii="Times New Roman" w:hAnsi="Times New Roman" w:cs="Times New Roman"/>
          <w:sz w:val="24"/>
          <w:szCs w:val="24"/>
        </w:rPr>
      </w:pPr>
      <w:r w:rsidRPr="00A40AD3">
        <w:rPr>
          <w:rFonts w:ascii="Times New Roman" w:hAnsi="Times New Roman" w:cs="Times New Roman"/>
          <w:sz w:val="24"/>
          <w:szCs w:val="24"/>
        </w:rPr>
        <w:tab/>
        <w:t xml:space="preserve">Individuals who rollover funds from a traditional IRA into </w:t>
      </w:r>
      <w:r w:rsidR="00147B8B" w:rsidRPr="00A40AD3">
        <w:rPr>
          <w:rFonts w:ascii="Times New Roman" w:hAnsi="Times New Roman" w:cs="Times New Roman"/>
          <w:sz w:val="24"/>
          <w:szCs w:val="24"/>
        </w:rPr>
        <w:t xml:space="preserve">a Roth IRA are converting a tax </w:t>
      </w:r>
      <w:r w:rsidRPr="00A40AD3">
        <w:rPr>
          <w:rFonts w:ascii="Times New Roman" w:hAnsi="Times New Roman" w:cs="Times New Roman"/>
          <w:sz w:val="24"/>
          <w:szCs w:val="24"/>
        </w:rPr>
        <w:t>deferred investment to a tax exempt</w:t>
      </w:r>
      <w:r w:rsidR="00147B8B" w:rsidRPr="00A40AD3">
        <w:rPr>
          <w:rFonts w:ascii="Times New Roman" w:hAnsi="Times New Roman" w:cs="Times New Roman"/>
          <w:sz w:val="24"/>
          <w:szCs w:val="24"/>
        </w:rPr>
        <w:t xml:space="preserve"> investment</w:t>
      </w:r>
      <w:bookmarkStart w:id="1" w:name="footfn#64"/>
      <w:bookmarkEnd w:id="1"/>
      <w:r w:rsidR="00147B8B" w:rsidRPr="00A40AD3">
        <w:rPr>
          <w:rFonts w:ascii="Times New Roman" w:hAnsi="Times New Roman" w:cs="Times New Roman"/>
          <w:sz w:val="24"/>
          <w:szCs w:val="24"/>
        </w:rPr>
        <w:t xml:space="preserve"> (Jones)</w:t>
      </w:r>
      <w:r w:rsidRPr="00A40AD3">
        <w:rPr>
          <w:rFonts w:ascii="Times New Roman" w:hAnsi="Times New Roman" w:cs="Times New Roman"/>
          <w:sz w:val="24"/>
          <w:szCs w:val="24"/>
        </w:rPr>
        <w:t xml:space="preserve">. In doing so the participant to the conversion must treat this conversion as a tax-deferred investment to a tax exempt investment.  This will in turn result in the </w:t>
      </w:r>
      <w:r w:rsidR="00147B8B" w:rsidRPr="00A40AD3">
        <w:rPr>
          <w:rFonts w:ascii="Times New Roman" w:hAnsi="Times New Roman" w:cs="Times New Roman"/>
          <w:sz w:val="24"/>
          <w:szCs w:val="24"/>
        </w:rPr>
        <w:t>treatment of</w:t>
      </w:r>
      <w:r w:rsidRPr="00A40AD3">
        <w:rPr>
          <w:rFonts w:ascii="Times New Roman" w:hAnsi="Times New Roman" w:cs="Times New Roman"/>
          <w:sz w:val="24"/>
          <w:szCs w:val="24"/>
        </w:rPr>
        <w:t xml:space="preserve"> this taxable conversion to include the taxable amount of the rol</w:t>
      </w:r>
      <w:r w:rsidR="00147B8B" w:rsidRPr="00A40AD3">
        <w:rPr>
          <w:rFonts w:ascii="Times New Roman" w:hAnsi="Times New Roman" w:cs="Times New Roman"/>
          <w:sz w:val="24"/>
          <w:szCs w:val="24"/>
        </w:rPr>
        <w:t>lover in gross income</w:t>
      </w:r>
      <w:r w:rsidR="00757AF9" w:rsidRPr="00A40AD3">
        <w:rPr>
          <w:rStyle w:val="FootnoteReference"/>
          <w:rFonts w:ascii="Times New Roman" w:hAnsi="Times New Roman" w:cs="Times New Roman"/>
          <w:sz w:val="24"/>
          <w:szCs w:val="24"/>
        </w:rPr>
        <w:footnoteReference w:id="6"/>
      </w:r>
      <w:r w:rsidR="00147B8B" w:rsidRPr="00A40AD3">
        <w:rPr>
          <w:rFonts w:ascii="Times New Roman" w:hAnsi="Times New Roman" w:cs="Times New Roman"/>
          <w:sz w:val="24"/>
          <w:szCs w:val="24"/>
        </w:rPr>
        <w:t xml:space="preserve">.  When a Traditional IRA is converted to a </w:t>
      </w:r>
      <w:r w:rsidR="00147B8B" w:rsidRPr="00A40AD3">
        <w:rPr>
          <w:rStyle w:val="docsearchterm"/>
          <w:rFonts w:ascii="Times New Roman" w:hAnsi="Times New Roman" w:cs="Times New Roman"/>
          <w:sz w:val="24"/>
          <w:szCs w:val="24"/>
        </w:rPr>
        <w:t>Roth</w:t>
      </w:r>
      <w:r w:rsidR="00147B8B" w:rsidRPr="00A40AD3">
        <w:rPr>
          <w:rFonts w:ascii="Times New Roman" w:hAnsi="Times New Roman" w:cs="Times New Roman"/>
          <w:sz w:val="24"/>
          <w:szCs w:val="24"/>
        </w:rPr>
        <w:t xml:space="preserve"> </w:t>
      </w:r>
      <w:r w:rsidR="00147B8B" w:rsidRPr="00A40AD3">
        <w:rPr>
          <w:rStyle w:val="docsearchterm"/>
          <w:rFonts w:ascii="Times New Roman" w:hAnsi="Times New Roman" w:cs="Times New Roman"/>
          <w:sz w:val="24"/>
          <w:szCs w:val="24"/>
        </w:rPr>
        <w:t>IRA</w:t>
      </w:r>
      <w:r w:rsidR="00147B8B" w:rsidRPr="00A40AD3">
        <w:rPr>
          <w:rFonts w:ascii="Times New Roman" w:hAnsi="Times New Roman" w:cs="Times New Roman"/>
          <w:sz w:val="24"/>
          <w:szCs w:val="24"/>
        </w:rPr>
        <w:t>, the amount treated as distributed is the FMV of the annuity contract on the date the annuity contract is converted</w:t>
      </w:r>
      <w:r w:rsidR="00757AF9" w:rsidRPr="00A40AD3">
        <w:rPr>
          <w:rStyle w:val="FootnoteReference"/>
          <w:rFonts w:ascii="Times New Roman" w:hAnsi="Times New Roman" w:cs="Times New Roman"/>
          <w:sz w:val="24"/>
          <w:szCs w:val="24"/>
        </w:rPr>
        <w:footnoteReference w:id="7"/>
      </w:r>
      <w:r w:rsidR="00147B8B" w:rsidRPr="00A40AD3">
        <w:rPr>
          <w:rFonts w:ascii="Times New Roman" w:hAnsi="Times New Roman" w:cs="Times New Roman"/>
          <w:sz w:val="24"/>
          <w:szCs w:val="24"/>
        </w:rPr>
        <w:t xml:space="preserve">.  </w:t>
      </w:r>
      <w:r w:rsidR="00DE3EE1" w:rsidRPr="00A40AD3">
        <w:rPr>
          <w:rFonts w:ascii="Times New Roman" w:hAnsi="Times New Roman" w:cs="Times New Roman"/>
          <w:sz w:val="24"/>
          <w:szCs w:val="24"/>
        </w:rPr>
        <w:t xml:space="preserve">One of the reasons for converting from a Traditional to a Roth IRA is if an individual expects to be in the same or higher tax bracket in the future.  Converting to a Roth IRA makes sense because the distributions are tax free (Drucker).  </w:t>
      </w:r>
    </w:p>
    <w:p w:rsidR="00757AF9" w:rsidRPr="00A40AD3" w:rsidRDefault="00757AF9" w:rsidP="00FA461F">
      <w:pPr>
        <w:spacing w:line="480" w:lineRule="auto"/>
        <w:contextualSpacing/>
        <w:rPr>
          <w:rFonts w:ascii="Times New Roman" w:hAnsi="Times New Roman" w:cs="Times New Roman"/>
          <w:sz w:val="24"/>
          <w:szCs w:val="24"/>
        </w:rPr>
      </w:pPr>
    </w:p>
    <w:p w:rsidR="004C643F" w:rsidRPr="00A40AD3" w:rsidRDefault="004C643F" w:rsidP="004C643F">
      <w:pPr>
        <w:spacing w:line="480" w:lineRule="auto"/>
        <w:contextualSpacing/>
        <w:rPr>
          <w:rFonts w:ascii="Times New Roman" w:hAnsi="Times New Roman" w:cs="Times New Roman"/>
          <w:b/>
          <w:sz w:val="24"/>
          <w:szCs w:val="24"/>
        </w:rPr>
      </w:pPr>
    </w:p>
    <w:p w:rsidR="004C643F" w:rsidRPr="00A40AD3" w:rsidRDefault="00B911D0" w:rsidP="004C643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Court Case</w:t>
      </w:r>
      <w:r w:rsidR="004C643F" w:rsidRPr="00A40AD3">
        <w:rPr>
          <w:rFonts w:ascii="Times New Roman" w:hAnsi="Times New Roman" w:cs="Times New Roman"/>
          <w:b/>
          <w:sz w:val="24"/>
          <w:szCs w:val="24"/>
        </w:rPr>
        <w:t xml:space="preserve"> - </w:t>
      </w:r>
      <w:r w:rsidR="004C643F" w:rsidRPr="00A40AD3">
        <w:rPr>
          <w:rFonts w:ascii="Times New Roman" w:hAnsi="Times New Roman" w:cs="Times New Roman"/>
          <w:sz w:val="24"/>
          <w:szCs w:val="24"/>
        </w:rPr>
        <w:t xml:space="preserve">Linda L. </w:t>
      </w:r>
      <w:proofErr w:type="spellStart"/>
      <w:r w:rsidR="004C643F" w:rsidRPr="00A40AD3">
        <w:rPr>
          <w:rFonts w:ascii="Times New Roman" w:hAnsi="Times New Roman" w:cs="Times New Roman"/>
          <w:sz w:val="24"/>
          <w:szCs w:val="24"/>
        </w:rPr>
        <w:t>Domanico</w:t>
      </w:r>
      <w:proofErr w:type="spellEnd"/>
      <w:r w:rsidR="004C643F" w:rsidRPr="00A40AD3">
        <w:rPr>
          <w:rFonts w:ascii="Times New Roman" w:hAnsi="Times New Roman" w:cs="Times New Roman"/>
          <w:sz w:val="24"/>
          <w:szCs w:val="24"/>
        </w:rPr>
        <w:t xml:space="preserve"> and Anthony M. </w:t>
      </w:r>
      <w:proofErr w:type="spellStart"/>
      <w:r w:rsidR="004C643F" w:rsidRPr="00A40AD3">
        <w:rPr>
          <w:rFonts w:ascii="Times New Roman" w:hAnsi="Times New Roman" w:cs="Times New Roman"/>
          <w:sz w:val="24"/>
          <w:szCs w:val="24"/>
        </w:rPr>
        <w:t>Domanico</w:t>
      </w:r>
      <w:proofErr w:type="spellEnd"/>
      <w:r w:rsidR="004C643F" w:rsidRPr="00A40AD3">
        <w:rPr>
          <w:rFonts w:ascii="Times New Roman" w:hAnsi="Times New Roman" w:cs="Times New Roman"/>
          <w:sz w:val="24"/>
          <w:szCs w:val="24"/>
        </w:rPr>
        <w:t xml:space="preserve"> v. Commissioner. (April 19, 2006) </w:t>
      </w:r>
    </w:p>
    <w:p w:rsidR="004C643F" w:rsidRPr="00A40AD3" w:rsidRDefault="004C643F" w:rsidP="004C643F">
      <w:pPr>
        <w:spacing w:line="480" w:lineRule="auto"/>
        <w:ind w:left="720"/>
        <w:contextualSpacing/>
        <w:rPr>
          <w:rFonts w:ascii="Times New Roman" w:hAnsi="Times New Roman" w:cs="Times New Roman"/>
          <w:sz w:val="24"/>
          <w:szCs w:val="24"/>
        </w:rPr>
      </w:pPr>
      <w:r w:rsidRPr="00A40AD3">
        <w:rPr>
          <w:rFonts w:ascii="Times New Roman" w:hAnsi="Times New Roman" w:cs="Times New Roman"/>
          <w:bCs/>
          <w:sz w:val="24"/>
          <w:szCs w:val="24"/>
        </w:rPr>
        <w:t xml:space="preserve">“Tax Court: Summary opinion: Retirement plans: 401(k): Early distributions: Ten percent penalty: Exceptions. – </w:t>
      </w:r>
      <w:r w:rsidRPr="00A40AD3">
        <w:rPr>
          <w:rFonts w:ascii="Times New Roman" w:hAnsi="Times New Roman" w:cs="Times New Roman"/>
          <w:sz w:val="24"/>
          <w:szCs w:val="24"/>
        </w:rPr>
        <w:t xml:space="preserve">Married taxpayers who received an early distribution from the wife's 401(k) plan were subject to the additional 10-percent tax imposed by Code Sec. 72(t). The taxpayers used the funds from the distribution to pay several </w:t>
      </w:r>
      <w:proofErr w:type="spellStart"/>
      <w:r w:rsidRPr="00A40AD3">
        <w:rPr>
          <w:rFonts w:ascii="Times New Roman" w:hAnsi="Times New Roman" w:cs="Times New Roman"/>
          <w:sz w:val="24"/>
          <w:szCs w:val="24"/>
        </w:rPr>
        <w:t>years worth</w:t>
      </w:r>
      <w:proofErr w:type="spellEnd"/>
      <w:r w:rsidRPr="00A40AD3">
        <w:rPr>
          <w:rFonts w:ascii="Times New Roman" w:hAnsi="Times New Roman" w:cs="Times New Roman"/>
          <w:sz w:val="24"/>
          <w:szCs w:val="24"/>
        </w:rPr>
        <w:t xml:space="preserve"> of the wife's </w:t>
      </w:r>
      <w:r w:rsidRPr="00A40AD3">
        <w:rPr>
          <w:rStyle w:val="docsearchterm"/>
          <w:rFonts w:ascii="Times New Roman" w:hAnsi="Times New Roman" w:cs="Times New Roman"/>
          <w:sz w:val="24"/>
          <w:szCs w:val="24"/>
        </w:rPr>
        <w:t>higher</w:t>
      </w:r>
      <w:r w:rsidRPr="00A40AD3">
        <w:rPr>
          <w:rFonts w:ascii="Times New Roman" w:hAnsi="Times New Roman" w:cs="Times New Roman"/>
          <w:sz w:val="24"/>
          <w:szCs w:val="24"/>
        </w:rPr>
        <w:t xml:space="preserve"> </w:t>
      </w:r>
      <w:r w:rsidRPr="00A40AD3">
        <w:rPr>
          <w:rStyle w:val="docsearchterm"/>
          <w:rFonts w:ascii="Times New Roman" w:hAnsi="Times New Roman" w:cs="Times New Roman"/>
          <w:sz w:val="24"/>
          <w:szCs w:val="24"/>
        </w:rPr>
        <w:t>education</w:t>
      </w:r>
      <w:r w:rsidRPr="00A40AD3">
        <w:rPr>
          <w:rFonts w:ascii="Times New Roman" w:hAnsi="Times New Roman" w:cs="Times New Roman"/>
          <w:sz w:val="24"/>
          <w:szCs w:val="24"/>
        </w:rPr>
        <w:t xml:space="preserve"> expenses. Although Code Sec. 72(t) (2) (E) provides an exception from the 10-percent addition to tax on early distributions from an </w:t>
      </w:r>
      <w:r w:rsidRPr="00A40AD3">
        <w:rPr>
          <w:rStyle w:val="docsearchterm"/>
          <w:rFonts w:ascii="Times New Roman" w:hAnsi="Times New Roman" w:cs="Times New Roman"/>
          <w:sz w:val="24"/>
          <w:szCs w:val="24"/>
        </w:rPr>
        <w:t>individual</w:t>
      </w:r>
      <w:r w:rsidRPr="00A40AD3">
        <w:rPr>
          <w:rFonts w:ascii="Times New Roman" w:hAnsi="Times New Roman" w:cs="Times New Roman"/>
          <w:sz w:val="24"/>
          <w:szCs w:val="24"/>
        </w:rPr>
        <w:t xml:space="preserve"> </w:t>
      </w:r>
      <w:r w:rsidRPr="00A40AD3">
        <w:rPr>
          <w:rStyle w:val="docsearchterm"/>
          <w:rFonts w:ascii="Times New Roman" w:hAnsi="Times New Roman" w:cs="Times New Roman"/>
          <w:sz w:val="24"/>
          <w:szCs w:val="24"/>
        </w:rPr>
        <w:t>retirement</w:t>
      </w:r>
      <w:r w:rsidRPr="00A40AD3">
        <w:rPr>
          <w:rFonts w:ascii="Times New Roman" w:hAnsi="Times New Roman" w:cs="Times New Roman"/>
          <w:sz w:val="24"/>
          <w:szCs w:val="24"/>
        </w:rPr>
        <w:t xml:space="preserve"> </w:t>
      </w:r>
      <w:r w:rsidRPr="00A40AD3">
        <w:rPr>
          <w:rStyle w:val="docsearchterm"/>
          <w:rFonts w:ascii="Times New Roman" w:hAnsi="Times New Roman" w:cs="Times New Roman"/>
          <w:sz w:val="24"/>
          <w:szCs w:val="24"/>
        </w:rPr>
        <w:t>account</w:t>
      </w:r>
      <w:r w:rsidRPr="00A40AD3">
        <w:rPr>
          <w:rFonts w:ascii="Times New Roman" w:hAnsi="Times New Roman" w:cs="Times New Roman"/>
          <w:sz w:val="24"/>
          <w:szCs w:val="24"/>
        </w:rPr>
        <w:t xml:space="preserve"> (</w:t>
      </w:r>
      <w:r w:rsidRPr="00A40AD3">
        <w:rPr>
          <w:rStyle w:val="docsearchterm"/>
          <w:rFonts w:ascii="Times New Roman" w:hAnsi="Times New Roman" w:cs="Times New Roman"/>
          <w:sz w:val="24"/>
          <w:szCs w:val="24"/>
        </w:rPr>
        <w:t>IRA</w:t>
      </w:r>
      <w:r w:rsidRPr="00A40AD3">
        <w:rPr>
          <w:rFonts w:ascii="Times New Roman" w:hAnsi="Times New Roman" w:cs="Times New Roman"/>
          <w:sz w:val="24"/>
          <w:szCs w:val="24"/>
        </w:rPr>
        <w:t xml:space="preserve">) used for </w:t>
      </w:r>
      <w:r w:rsidRPr="00A40AD3">
        <w:rPr>
          <w:rStyle w:val="docsearchterm"/>
          <w:rFonts w:ascii="Times New Roman" w:hAnsi="Times New Roman" w:cs="Times New Roman"/>
          <w:sz w:val="24"/>
          <w:szCs w:val="24"/>
        </w:rPr>
        <w:t>higher</w:t>
      </w:r>
      <w:r w:rsidRPr="00A40AD3">
        <w:rPr>
          <w:rFonts w:ascii="Times New Roman" w:hAnsi="Times New Roman" w:cs="Times New Roman"/>
          <w:sz w:val="24"/>
          <w:szCs w:val="24"/>
        </w:rPr>
        <w:t>-</w:t>
      </w:r>
      <w:r w:rsidRPr="00A40AD3">
        <w:rPr>
          <w:rStyle w:val="docsearchterm"/>
          <w:rFonts w:ascii="Times New Roman" w:hAnsi="Times New Roman" w:cs="Times New Roman"/>
          <w:sz w:val="24"/>
          <w:szCs w:val="24"/>
        </w:rPr>
        <w:t>education</w:t>
      </w:r>
      <w:r w:rsidRPr="00A40AD3">
        <w:rPr>
          <w:rFonts w:ascii="Times New Roman" w:hAnsi="Times New Roman" w:cs="Times New Roman"/>
          <w:sz w:val="24"/>
          <w:szCs w:val="24"/>
        </w:rPr>
        <w:t xml:space="preserve"> expenses, the taxpayer's 401(k) plan was not an </w:t>
      </w:r>
      <w:r w:rsidRPr="00A40AD3">
        <w:rPr>
          <w:rStyle w:val="docsearchterm"/>
          <w:rFonts w:ascii="Times New Roman" w:hAnsi="Times New Roman" w:cs="Times New Roman"/>
          <w:sz w:val="24"/>
          <w:szCs w:val="24"/>
        </w:rPr>
        <w:lastRenderedPageBreak/>
        <w:t>IRA</w:t>
      </w:r>
      <w:r w:rsidRPr="00A40AD3">
        <w:rPr>
          <w:rFonts w:ascii="Times New Roman" w:hAnsi="Times New Roman" w:cs="Times New Roman"/>
          <w:sz w:val="24"/>
          <w:szCs w:val="24"/>
        </w:rPr>
        <w:t xml:space="preserve">. The definition of an </w:t>
      </w:r>
      <w:r w:rsidRPr="00A40AD3">
        <w:rPr>
          <w:rStyle w:val="docsearchterm"/>
          <w:rFonts w:ascii="Times New Roman" w:hAnsi="Times New Roman" w:cs="Times New Roman"/>
          <w:sz w:val="24"/>
          <w:szCs w:val="24"/>
        </w:rPr>
        <w:t>IRA</w:t>
      </w:r>
      <w:r w:rsidRPr="00A40AD3">
        <w:rPr>
          <w:rFonts w:ascii="Times New Roman" w:hAnsi="Times New Roman" w:cs="Times New Roman"/>
          <w:sz w:val="24"/>
          <w:szCs w:val="24"/>
        </w:rPr>
        <w:t xml:space="preserve"> is limited under the Code to retirement plans described in Code Sec. 408 (a) and retirement annuities described in Code Sec. 408(b). Although this distinction may appear to exalt form over substance, it is a distinction that is legislatively mandated. Further, that the taxpayers used the distribution for a laudable purpose did not override the fact that the court lacks general equitable powers and is constrained to apply the law as written.—CCH.”</w:t>
      </w:r>
    </w:p>
    <w:p w:rsidR="00DE3EE1" w:rsidRPr="00A40AD3" w:rsidRDefault="004C643F" w:rsidP="00FA461F">
      <w:pPr>
        <w:spacing w:line="480" w:lineRule="auto"/>
        <w:contextualSpacing/>
        <w:rPr>
          <w:rFonts w:ascii="Times New Roman" w:hAnsi="Times New Roman" w:cs="Times New Roman"/>
          <w:sz w:val="24"/>
          <w:szCs w:val="24"/>
        </w:rPr>
      </w:pPr>
      <w:r w:rsidRPr="00A40AD3">
        <w:rPr>
          <w:rFonts w:ascii="Times New Roman" w:hAnsi="Times New Roman" w:cs="Times New Roman"/>
          <w:sz w:val="24"/>
          <w:szCs w:val="24"/>
        </w:rPr>
        <w:t xml:space="preserve">Although the IRC allows for the 10% penalty to be waived for early </w:t>
      </w:r>
      <w:r w:rsidR="00C356D2" w:rsidRPr="00A40AD3">
        <w:rPr>
          <w:rFonts w:ascii="Times New Roman" w:hAnsi="Times New Roman" w:cs="Times New Roman"/>
          <w:sz w:val="24"/>
          <w:szCs w:val="24"/>
        </w:rPr>
        <w:t>withdrawal for higher education expenses from an IRA.  In this case the funds that the defendant withdrew were not from an IRA but from an employer sponsored 401(K) qualified retirement plan.  As such qualified retirement plans have varying stipulation</w:t>
      </w:r>
      <w:r w:rsidR="00331921">
        <w:rPr>
          <w:rFonts w:ascii="Times New Roman" w:hAnsi="Times New Roman" w:cs="Times New Roman"/>
          <w:sz w:val="24"/>
          <w:szCs w:val="24"/>
        </w:rPr>
        <w:t>s</w:t>
      </w:r>
      <w:r w:rsidR="00C356D2" w:rsidRPr="00A40AD3">
        <w:rPr>
          <w:rFonts w:ascii="Times New Roman" w:hAnsi="Times New Roman" w:cs="Times New Roman"/>
          <w:sz w:val="24"/>
          <w:szCs w:val="24"/>
        </w:rPr>
        <w:t xml:space="preserve"> on the penalties and exception from premature withdrawals.  The 10 percent penalty applies only to the portion of a withdrawal included in the participant’s income.  Individuals who withdraw funds from a qualified plan can avoid both the income tax and any premature withdrawal penalty by rolling the funds to an IRA within 60 days of the withdrawal (Jones).  </w:t>
      </w:r>
      <w:r w:rsidR="0092329F" w:rsidRPr="00A40AD3">
        <w:rPr>
          <w:rFonts w:ascii="Times New Roman" w:hAnsi="Times New Roman" w:cs="Times New Roman"/>
          <w:sz w:val="24"/>
          <w:szCs w:val="24"/>
        </w:rPr>
        <w:t xml:space="preserve">In this case Mrs. </w:t>
      </w:r>
      <w:proofErr w:type="spellStart"/>
      <w:r w:rsidR="0092329F" w:rsidRPr="00A40AD3">
        <w:rPr>
          <w:rFonts w:ascii="Times New Roman" w:hAnsi="Times New Roman" w:cs="Times New Roman"/>
          <w:sz w:val="24"/>
          <w:szCs w:val="24"/>
        </w:rPr>
        <w:t>Domanico</w:t>
      </w:r>
      <w:proofErr w:type="spellEnd"/>
      <w:r w:rsidR="0092329F" w:rsidRPr="00A40AD3">
        <w:rPr>
          <w:rFonts w:ascii="Times New Roman" w:hAnsi="Times New Roman" w:cs="Times New Roman"/>
          <w:sz w:val="24"/>
          <w:szCs w:val="24"/>
        </w:rPr>
        <w:t xml:space="preserve"> was a flight attendant for Trans World Airlines (TWA) and was injured on the job which lead her to leave the company and pursue an education in teaching.  Upon leaving TWA the firm allowed her the ability to withdrawal the funds directly from her qualified 401(K) plan or rollover the balance to an individual IRA.  In doing personal research on the various rules and regulations of such actions, Mrs. </w:t>
      </w:r>
      <w:proofErr w:type="spellStart"/>
      <w:r w:rsidR="0092329F" w:rsidRPr="00A40AD3">
        <w:rPr>
          <w:rFonts w:ascii="Times New Roman" w:hAnsi="Times New Roman" w:cs="Times New Roman"/>
          <w:sz w:val="24"/>
          <w:szCs w:val="24"/>
        </w:rPr>
        <w:t>Domonico</w:t>
      </w:r>
      <w:proofErr w:type="spellEnd"/>
      <w:r w:rsidR="0092329F" w:rsidRPr="00A40AD3">
        <w:rPr>
          <w:rFonts w:ascii="Times New Roman" w:hAnsi="Times New Roman" w:cs="Times New Roman"/>
          <w:sz w:val="24"/>
          <w:szCs w:val="24"/>
        </w:rPr>
        <w:t xml:space="preserve"> directly withdrew the entire amount of $40,457, in which she used $10,357 for her higher education expenses.  At the time of the distribution she had not reached the eligible age for withdrawal of the funds.  Consequently, </w:t>
      </w:r>
      <w:r w:rsidR="00D0677E" w:rsidRPr="00A40AD3">
        <w:rPr>
          <w:rFonts w:ascii="Times New Roman" w:hAnsi="Times New Roman" w:cs="Times New Roman"/>
          <w:sz w:val="24"/>
          <w:szCs w:val="24"/>
        </w:rPr>
        <w:t xml:space="preserve">on the </w:t>
      </w:r>
      <w:proofErr w:type="spellStart"/>
      <w:r w:rsidR="00D0677E" w:rsidRPr="00A40AD3">
        <w:rPr>
          <w:rFonts w:ascii="Times New Roman" w:hAnsi="Times New Roman" w:cs="Times New Roman"/>
          <w:sz w:val="24"/>
          <w:szCs w:val="24"/>
        </w:rPr>
        <w:t>Domonico’s</w:t>
      </w:r>
      <w:proofErr w:type="spellEnd"/>
      <w:r w:rsidR="00D0677E" w:rsidRPr="00A40AD3">
        <w:rPr>
          <w:rFonts w:ascii="Times New Roman" w:hAnsi="Times New Roman" w:cs="Times New Roman"/>
          <w:sz w:val="24"/>
          <w:szCs w:val="24"/>
        </w:rPr>
        <w:t xml:space="preserve"> 1040 individual income tax form they reported the $40,457 as income but did not report the additional 10% penalty tax for early distribution due to the idea that they were not subject to taxes on the withdrawal for higher </w:t>
      </w:r>
      <w:r w:rsidR="00D0677E" w:rsidRPr="00A40AD3">
        <w:rPr>
          <w:rFonts w:ascii="Times New Roman" w:hAnsi="Times New Roman" w:cs="Times New Roman"/>
          <w:sz w:val="24"/>
          <w:szCs w:val="24"/>
        </w:rPr>
        <w:lastRenderedPageBreak/>
        <w:t xml:space="preserve">education expenses.  In support of their actions of using the early withdrawal for higher education purposes the </w:t>
      </w:r>
      <w:r w:rsidR="00FF4942" w:rsidRPr="00A40AD3">
        <w:rPr>
          <w:rFonts w:ascii="Times New Roman" w:hAnsi="Times New Roman" w:cs="Times New Roman"/>
          <w:sz w:val="24"/>
          <w:szCs w:val="24"/>
        </w:rPr>
        <w:t xml:space="preserve">petitioners relied on the Master Tax Guide paragraph 2179 explaining early distributions.  However, the common retirement-oriented purpose of a 401(k) plan and an </w:t>
      </w:r>
      <w:r w:rsidR="00FF4942" w:rsidRPr="00A40AD3">
        <w:rPr>
          <w:rStyle w:val="docsearchterm"/>
          <w:rFonts w:ascii="Times New Roman" w:hAnsi="Times New Roman" w:cs="Times New Roman"/>
          <w:sz w:val="24"/>
          <w:szCs w:val="24"/>
        </w:rPr>
        <w:t>individual</w:t>
      </w:r>
      <w:r w:rsidR="00FF4942" w:rsidRPr="00A40AD3">
        <w:rPr>
          <w:rFonts w:ascii="Times New Roman" w:hAnsi="Times New Roman" w:cs="Times New Roman"/>
          <w:sz w:val="24"/>
          <w:szCs w:val="24"/>
        </w:rPr>
        <w:t xml:space="preserve"> </w:t>
      </w:r>
      <w:r w:rsidR="00FF4942" w:rsidRPr="00A40AD3">
        <w:rPr>
          <w:rStyle w:val="docsearchterm"/>
          <w:rFonts w:ascii="Times New Roman" w:hAnsi="Times New Roman" w:cs="Times New Roman"/>
          <w:sz w:val="24"/>
          <w:szCs w:val="24"/>
        </w:rPr>
        <w:t>retirement</w:t>
      </w:r>
      <w:r w:rsidR="00FF4942" w:rsidRPr="00A40AD3">
        <w:rPr>
          <w:rFonts w:ascii="Times New Roman" w:hAnsi="Times New Roman" w:cs="Times New Roman"/>
          <w:sz w:val="24"/>
          <w:szCs w:val="24"/>
        </w:rPr>
        <w:t xml:space="preserve"> </w:t>
      </w:r>
      <w:r w:rsidR="00FF4942" w:rsidRPr="00A40AD3">
        <w:rPr>
          <w:rStyle w:val="docsearchterm"/>
          <w:rFonts w:ascii="Times New Roman" w:hAnsi="Times New Roman" w:cs="Times New Roman"/>
          <w:sz w:val="24"/>
          <w:szCs w:val="24"/>
        </w:rPr>
        <w:t>plan</w:t>
      </w:r>
      <w:r w:rsidR="00FF4942" w:rsidRPr="00A40AD3">
        <w:rPr>
          <w:rFonts w:ascii="Times New Roman" w:hAnsi="Times New Roman" w:cs="Times New Roman"/>
          <w:sz w:val="24"/>
          <w:szCs w:val="24"/>
        </w:rPr>
        <w:t xml:space="preserve"> may have led petitioners to a “finite misinterpretation” based on their reading of the Master Tax Guide, a 401(k) plan and an </w:t>
      </w:r>
      <w:r w:rsidR="00FF4942" w:rsidRPr="00A40AD3">
        <w:rPr>
          <w:rStyle w:val="docsearchterm"/>
          <w:rFonts w:ascii="Times New Roman" w:hAnsi="Times New Roman" w:cs="Times New Roman"/>
          <w:sz w:val="24"/>
          <w:szCs w:val="24"/>
        </w:rPr>
        <w:t>individual</w:t>
      </w:r>
      <w:r w:rsidR="00FF4942" w:rsidRPr="00A40AD3">
        <w:rPr>
          <w:rFonts w:ascii="Times New Roman" w:hAnsi="Times New Roman" w:cs="Times New Roman"/>
          <w:sz w:val="24"/>
          <w:szCs w:val="24"/>
        </w:rPr>
        <w:t xml:space="preserve"> </w:t>
      </w:r>
      <w:r w:rsidR="00FF4942" w:rsidRPr="00A40AD3">
        <w:rPr>
          <w:rStyle w:val="docsearchterm"/>
          <w:rFonts w:ascii="Times New Roman" w:hAnsi="Times New Roman" w:cs="Times New Roman"/>
          <w:sz w:val="24"/>
          <w:szCs w:val="24"/>
        </w:rPr>
        <w:t>retirement</w:t>
      </w:r>
      <w:r w:rsidR="00FF4942" w:rsidRPr="00A40AD3">
        <w:rPr>
          <w:rFonts w:ascii="Times New Roman" w:hAnsi="Times New Roman" w:cs="Times New Roman"/>
          <w:sz w:val="24"/>
          <w:szCs w:val="24"/>
        </w:rPr>
        <w:t xml:space="preserve"> </w:t>
      </w:r>
      <w:r w:rsidR="00FF4942" w:rsidRPr="00A40AD3">
        <w:rPr>
          <w:rStyle w:val="docsearchterm"/>
          <w:rFonts w:ascii="Times New Roman" w:hAnsi="Times New Roman" w:cs="Times New Roman"/>
          <w:sz w:val="24"/>
          <w:szCs w:val="24"/>
        </w:rPr>
        <w:t>plan</w:t>
      </w:r>
      <w:r w:rsidR="00FF4942" w:rsidRPr="00A40AD3">
        <w:rPr>
          <w:rFonts w:ascii="Times New Roman" w:hAnsi="Times New Roman" w:cs="Times New Roman"/>
          <w:sz w:val="24"/>
          <w:szCs w:val="24"/>
        </w:rPr>
        <w:t xml:space="preserve"> are separate and distinct in that only withdrawals from an </w:t>
      </w:r>
      <w:r w:rsidR="00FF4942" w:rsidRPr="00A40AD3">
        <w:rPr>
          <w:rStyle w:val="docsearchterm"/>
          <w:rFonts w:ascii="Times New Roman" w:hAnsi="Times New Roman" w:cs="Times New Roman"/>
          <w:sz w:val="24"/>
          <w:szCs w:val="24"/>
        </w:rPr>
        <w:t>IRA</w:t>
      </w:r>
      <w:r w:rsidR="00FF4942" w:rsidRPr="00A40AD3">
        <w:rPr>
          <w:rFonts w:ascii="Times New Roman" w:hAnsi="Times New Roman" w:cs="Times New Roman"/>
          <w:sz w:val="24"/>
          <w:szCs w:val="24"/>
        </w:rPr>
        <w:t xml:space="preserve"> may qualify for this exception</w:t>
      </w:r>
      <w:r w:rsidR="00757AF9" w:rsidRPr="00A40AD3">
        <w:rPr>
          <w:rStyle w:val="FootnoteReference"/>
          <w:rFonts w:ascii="Times New Roman" w:hAnsi="Times New Roman" w:cs="Times New Roman"/>
          <w:sz w:val="24"/>
          <w:szCs w:val="24"/>
        </w:rPr>
        <w:footnoteReference w:id="8"/>
      </w:r>
      <w:r w:rsidR="00FF4942" w:rsidRPr="00A40AD3">
        <w:rPr>
          <w:rFonts w:ascii="Times New Roman" w:hAnsi="Times New Roman" w:cs="Times New Roman"/>
          <w:sz w:val="24"/>
          <w:szCs w:val="24"/>
        </w:rPr>
        <w:t>.</w:t>
      </w:r>
      <w:r w:rsidR="00757AF9" w:rsidRPr="00A40AD3">
        <w:rPr>
          <w:rFonts w:ascii="Times New Roman" w:hAnsi="Times New Roman" w:cs="Times New Roman"/>
          <w:sz w:val="24"/>
          <w:szCs w:val="24"/>
        </w:rPr>
        <w:t xml:space="preserve">  </w:t>
      </w:r>
      <w:r w:rsidR="00FF4942" w:rsidRPr="00A40AD3">
        <w:rPr>
          <w:rFonts w:ascii="Times New Roman" w:hAnsi="Times New Roman" w:cs="Times New Roman"/>
          <w:sz w:val="24"/>
          <w:szCs w:val="24"/>
        </w:rPr>
        <w:t>The distinction between the two for purposes of section 72(t</w:t>
      </w:r>
      <w:proofErr w:type="gramStart"/>
      <w:r w:rsidR="00FF4942" w:rsidRPr="00A40AD3">
        <w:rPr>
          <w:rFonts w:ascii="Times New Roman" w:hAnsi="Times New Roman" w:cs="Times New Roman"/>
          <w:sz w:val="24"/>
          <w:szCs w:val="24"/>
        </w:rPr>
        <w:t>)(</w:t>
      </w:r>
      <w:proofErr w:type="gramEnd"/>
      <w:r w:rsidR="00FF4942" w:rsidRPr="00A40AD3">
        <w:rPr>
          <w:rFonts w:ascii="Times New Roman" w:hAnsi="Times New Roman" w:cs="Times New Roman"/>
          <w:sz w:val="24"/>
          <w:szCs w:val="24"/>
        </w:rPr>
        <w:t xml:space="preserve">2)(E) may appear to exalt form over substance, but it is a distinction that is legislatively mandated (Kluwer).  In conclusion, the court’s decision for Mrs. </w:t>
      </w:r>
      <w:proofErr w:type="spellStart"/>
      <w:r w:rsidR="00FF4942" w:rsidRPr="00A40AD3">
        <w:rPr>
          <w:rFonts w:ascii="Times New Roman" w:hAnsi="Times New Roman" w:cs="Times New Roman"/>
          <w:sz w:val="24"/>
          <w:szCs w:val="24"/>
        </w:rPr>
        <w:t>Domonico</w:t>
      </w:r>
      <w:proofErr w:type="spellEnd"/>
      <w:r w:rsidR="00FF4942" w:rsidRPr="00A40AD3">
        <w:rPr>
          <w:rFonts w:ascii="Times New Roman" w:hAnsi="Times New Roman" w:cs="Times New Roman"/>
          <w:sz w:val="24"/>
          <w:szCs w:val="24"/>
        </w:rPr>
        <w:t xml:space="preserve"> to apply the 10% tax penalty </w:t>
      </w:r>
      <w:r w:rsidR="00AE37DF" w:rsidRPr="00A40AD3">
        <w:rPr>
          <w:rFonts w:ascii="Times New Roman" w:hAnsi="Times New Roman" w:cs="Times New Roman"/>
          <w:sz w:val="24"/>
          <w:szCs w:val="24"/>
        </w:rPr>
        <w:t xml:space="preserve">was a result of the fact that Federal tax law are the statutes, regulations, and judicial decisions and not guides such as the Master Tax Guide that are published by private commercial publishers.  </w:t>
      </w:r>
    </w:p>
    <w:p w:rsidR="00AE37DF" w:rsidRPr="00A40AD3" w:rsidRDefault="00AE37DF" w:rsidP="00FA461F">
      <w:pPr>
        <w:spacing w:line="480" w:lineRule="auto"/>
        <w:contextualSpacing/>
        <w:rPr>
          <w:rFonts w:ascii="Times New Roman" w:hAnsi="Times New Roman" w:cs="Times New Roman"/>
          <w:b/>
          <w:sz w:val="24"/>
          <w:szCs w:val="24"/>
        </w:rPr>
      </w:pPr>
      <w:r w:rsidRPr="00A40AD3">
        <w:rPr>
          <w:rFonts w:ascii="Times New Roman" w:hAnsi="Times New Roman" w:cs="Times New Roman"/>
          <w:b/>
          <w:sz w:val="24"/>
          <w:szCs w:val="24"/>
        </w:rPr>
        <w:t>Conclusion</w:t>
      </w:r>
    </w:p>
    <w:p w:rsidR="00AE37DF" w:rsidRPr="00A40AD3" w:rsidRDefault="00A40AD3" w:rsidP="00AE37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comparison of the Traditional and Roth IRA options, the investment in either can pose very beneficial returns dependent on the investor’s current and future financial standing and goals.  </w:t>
      </w:r>
      <w:r w:rsidR="00AE37DF" w:rsidRPr="00A40AD3">
        <w:rPr>
          <w:rFonts w:ascii="Times New Roman" w:hAnsi="Times New Roman" w:cs="Times New Roman"/>
          <w:sz w:val="24"/>
          <w:szCs w:val="24"/>
        </w:rPr>
        <w:t xml:space="preserve">The importance of taxpayers to fully understand the tax laws and regulations in regard to their retirement accounts is vitally important in order to maximize the benefits of the retirement accounts.  </w:t>
      </w:r>
      <w:r>
        <w:rPr>
          <w:rFonts w:ascii="Times New Roman" w:hAnsi="Times New Roman" w:cs="Times New Roman"/>
          <w:sz w:val="24"/>
          <w:szCs w:val="24"/>
        </w:rPr>
        <w:t xml:space="preserve">Due to several penalties and potential taxing obligations from various actions in relation to investments in IRA’s, being fully compliant and knowledgeable is key in decision making.  </w:t>
      </w:r>
      <w:r w:rsidR="00AE37DF" w:rsidRPr="00A40AD3">
        <w:rPr>
          <w:rFonts w:ascii="Times New Roman" w:hAnsi="Times New Roman" w:cs="Times New Roman"/>
          <w:sz w:val="24"/>
          <w:szCs w:val="24"/>
        </w:rPr>
        <w:t>Even though Investment Retirement Accounts are in nature for the benefit of the investor, there are many finite details that are necessary to understand.</w:t>
      </w:r>
      <w:r>
        <w:rPr>
          <w:rFonts w:ascii="Times New Roman" w:hAnsi="Times New Roman" w:cs="Times New Roman"/>
          <w:sz w:val="24"/>
          <w:szCs w:val="24"/>
        </w:rPr>
        <w:t xml:space="preserve">  </w:t>
      </w:r>
      <w:r w:rsidR="00AE37DF" w:rsidRPr="00A40AD3">
        <w:rPr>
          <w:rFonts w:ascii="Times New Roman" w:hAnsi="Times New Roman" w:cs="Times New Roman"/>
          <w:sz w:val="24"/>
          <w:szCs w:val="24"/>
        </w:rPr>
        <w:t xml:space="preserve">   </w:t>
      </w:r>
    </w:p>
    <w:p w:rsidR="00A40AD3" w:rsidRDefault="00A40AD3" w:rsidP="0010446A">
      <w:pPr>
        <w:spacing w:line="480" w:lineRule="auto"/>
        <w:contextualSpacing/>
        <w:rPr>
          <w:rFonts w:ascii="Times New Roman" w:hAnsi="Times New Roman" w:cs="Times New Roman"/>
          <w:sz w:val="24"/>
          <w:szCs w:val="24"/>
        </w:rPr>
      </w:pPr>
    </w:p>
    <w:p w:rsidR="00A40AD3" w:rsidRPr="00A40AD3" w:rsidRDefault="00A40AD3" w:rsidP="0010446A">
      <w:pPr>
        <w:spacing w:line="480" w:lineRule="auto"/>
        <w:contextualSpacing/>
        <w:rPr>
          <w:rFonts w:ascii="Times New Roman" w:hAnsi="Times New Roman" w:cs="Times New Roman"/>
          <w:sz w:val="24"/>
          <w:szCs w:val="24"/>
        </w:rPr>
      </w:pPr>
    </w:p>
    <w:p w:rsidR="0010446A" w:rsidRPr="00A40AD3" w:rsidRDefault="0010446A" w:rsidP="0010446A">
      <w:pPr>
        <w:spacing w:line="480" w:lineRule="auto"/>
        <w:contextualSpacing/>
        <w:rPr>
          <w:rFonts w:ascii="Times New Roman" w:hAnsi="Times New Roman" w:cs="Times New Roman"/>
          <w:sz w:val="24"/>
          <w:szCs w:val="24"/>
        </w:rPr>
      </w:pPr>
    </w:p>
    <w:p w:rsidR="0010446A" w:rsidRPr="00A40AD3" w:rsidRDefault="0010446A" w:rsidP="0010446A">
      <w:pPr>
        <w:jc w:val="center"/>
        <w:rPr>
          <w:rFonts w:ascii="Times New Roman" w:hAnsi="Times New Roman" w:cs="Times New Roman"/>
          <w:b/>
          <w:sz w:val="24"/>
          <w:szCs w:val="24"/>
        </w:rPr>
      </w:pPr>
      <w:r w:rsidRPr="00A40AD3">
        <w:rPr>
          <w:rFonts w:ascii="Times New Roman" w:hAnsi="Times New Roman" w:cs="Times New Roman"/>
          <w:b/>
          <w:sz w:val="24"/>
          <w:szCs w:val="24"/>
        </w:rPr>
        <w:t>Bibliography</w:t>
      </w:r>
    </w:p>
    <w:p w:rsidR="0010446A" w:rsidRPr="00A40AD3" w:rsidRDefault="0010446A" w:rsidP="0010446A">
      <w:pPr>
        <w:spacing w:line="240" w:lineRule="auto"/>
        <w:ind w:firstLine="720"/>
        <w:rPr>
          <w:rFonts w:ascii="Times New Roman" w:hAnsi="Times New Roman" w:cs="Times New Roman"/>
          <w:sz w:val="24"/>
          <w:szCs w:val="24"/>
        </w:rPr>
      </w:pPr>
      <w:proofErr w:type="spellStart"/>
      <w:r w:rsidRPr="00A40AD3">
        <w:rPr>
          <w:rFonts w:ascii="Times New Roman" w:hAnsi="Times New Roman" w:cs="Times New Roman"/>
          <w:sz w:val="24"/>
          <w:szCs w:val="24"/>
        </w:rPr>
        <w:t>Bromma</w:t>
      </w:r>
      <w:proofErr w:type="spellEnd"/>
      <w:r w:rsidRPr="00A40AD3">
        <w:rPr>
          <w:rFonts w:ascii="Times New Roman" w:hAnsi="Times New Roman" w:cs="Times New Roman"/>
          <w:sz w:val="24"/>
          <w:szCs w:val="24"/>
        </w:rPr>
        <w:t xml:space="preserve">, Hugh. "Pension Plans and Individual Responsibility for Retirement." Employee </w:t>
      </w:r>
      <w:r w:rsidRPr="00A40AD3">
        <w:rPr>
          <w:rFonts w:ascii="Times New Roman" w:hAnsi="Times New Roman" w:cs="Times New Roman"/>
          <w:sz w:val="24"/>
          <w:szCs w:val="24"/>
        </w:rPr>
        <w:tab/>
      </w:r>
      <w:r w:rsidRPr="00A40AD3">
        <w:rPr>
          <w:rFonts w:ascii="Times New Roman" w:hAnsi="Times New Roman" w:cs="Times New Roman"/>
          <w:sz w:val="24"/>
          <w:szCs w:val="24"/>
        </w:rPr>
        <w:tab/>
        <w:t xml:space="preserve">benefit plan review 61.1 (2006): 15-8. </w:t>
      </w:r>
      <w:proofErr w:type="spellStart"/>
      <w:r w:rsidRPr="00A40AD3">
        <w:rPr>
          <w:rFonts w:ascii="Times New Roman" w:hAnsi="Times New Roman" w:cs="Times New Roman"/>
          <w:sz w:val="24"/>
          <w:szCs w:val="24"/>
        </w:rPr>
        <w:t>ProQuest</w:t>
      </w:r>
      <w:proofErr w:type="spellEnd"/>
      <w:r w:rsidRPr="00A40AD3">
        <w:rPr>
          <w:rFonts w:ascii="Times New Roman" w:hAnsi="Times New Roman" w:cs="Times New Roman"/>
          <w:sz w:val="24"/>
          <w:szCs w:val="24"/>
        </w:rPr>
        <w:t>. Web. 22 May 2013.</w:t>
      </w:r>
    </w:p>
    <w:p w:rsidR="0010446A" w:rsidRPr="00A40AD3" w:rsidRDefault="00680341" w:rsidP="0010446A">
      <w:pPr>
        <w:spacing w:line="240" w:lineRule="auto"/>
        <w:ind w:firstLine="720"/>
        <w:rPr>
          <w:rFonts w:ascii="Times New Roman" w:eastAsia="Times New Roman" w:hAnsi="Times New Roman" w:cs="Times New Roman"/>
          <w:sz w:val="24"/>
          <w:szCs w:val="24"/>
        </w:rPr>
      </w:pPr>
      <w:r w:rsidRPr="00A40AD3">
        <w:rPr>
          <w:rFonts w:ascii="Times New Roman" w:hAnsi="Times New Roman" w:cs="Times New Roman"/>
          <w:sz w:val="24"/>
          <w:szCs w:val="24"/>
        </w:rPr>
        <w:t xml:space="preserve">Drucker, </w:t>
      </w:r>
      <w:r w:rsidRPr="00A40AD3">
        <w:rPr>
          <w:rFonts w:ascii="Times New Roman" w:eastAsia="Times New Roman" w:hAnsi="Times New Roman" w:cs="Times New Roman"/>
          <w:sz w:val="24"/>
          <w:szCs w:val="24"/>
        </w:rPr>
        <w:t>Meyer</w:t>
      </w:r>
      <w:r w:rsidR="0010446A" w:rsidRPr="00A40AD3">
        <w:rPr>
          <w:rFonts w:ascii="Times New Roman" w:eastAsia="Times New Roman" w:hAnsi="Times New Roman" w:cs="Times New Roman"/>
          <w:sz w:val="24"/>
          <w:szCs w:val="24"/>
        </w:rPr>
        <w:t xml:space="preserve">, et al. "Retirement </w:t>
      </w:r>
      <w:proofErr w:type="gramStart"/>
      <w:r w:rsidR="0010446A" w:rsidRPr="00A40AD3">
        <w:rPr>
          <w:rFonts w:ascii="Times New Roman" w:eastAsia="Times New Roman" w:hAnsi="Times New Roman" w:cs="Times New Roman"/>
          <w:sz w:val="24"/>
          <w:szCs w:val="24"/>
        </w:rPr>
        <w:t>And</w:t>
      </w:r>
      <w:proofErr w:type="gramEnd"/>
      <w:r w:rsidR="0010446A" w:rsidRPr="00A40AD3">
        <w:rPr>
          <w:rFonts w:ascii="Times New Roman" w:eastAsia="Times New Roman" w:hAnsi="Times New Roman" w:cs="Times New Roman"/>
          <w:sz w:val="24"/>
          <w:szCs w:val="24"/>
        </w:rPr>
        <w:t xml:space="preserve"> Estate Planning With An Emphasis </w:t>
      </w:r>
      <w:r w:rsidR="0010446A" w:rsidRPr="00A40AD3">
        <w:rPr>
          <w:rFonts w:ascii="Times New Roman" w:eastAsia="Times New Roman" w:hAnsi="Times New Roman" w:cs="Times New Roman"/>
          <w:sz w:val="24"/>
          <w:szCs w:val="24"/>
        </w:rPr>
        <w:tab/>
      </w:r>
      <w:r w:rsidR="0010446A" w:rsidRPr="00A40AD3">
        <w:rPr>
          <w:rFonts w:ascii="Times New Roman" w:eastAsia="Times New Roman" w:hAnsi="Times New Roman" w:cs="Times New Roman"/>
          <w:sz w:val="24"/>
          <w:szCs w:val="24"/>
        </w:rPr>
        <w:tab/>
      </w:r>
      <w:r w:rsidR="0010446A" w:rsidRPr="00A40AD3">
        <w:rPr>
          <w:rFonts w:ascii="Times New Roman" w:eastAsia="Times New Roman" w:hAnsi="Times New Roman" w:cs="Times New Roman"/>
          <w:sz w:val="24"/>
          <w:szCs w:val="24"/>
        </w:rPr>
        <w:tab/>
      </w:r>
      <w:r w:rsidR="0010446A" w:rsidRPr="00A40AD3">
        <w:rPr>
          <w:rFonts w:ascii="Times New Roman" w:eastAsia="Times New Roman" w:hAnsi="Times New Roman" w:cs="Times New Roman"/>
          <w:sz w:val="24"/>
          <w:szCs w:val="24"/>
        </w:rPr>
        <w:tab/>
        <w:t xml:space="preserve">On Individual Retirement Accounts." </w:t>
      </w:r>
      <w:r w:rsidR="0010446A" w:rsidRPr="00A40AD3">
        <w:rPr>
          <w:rFonts w:ascii="Times New Roman" w:eastAsia="Times New Roman" w:hAnsi="Times New Roman" w:cs="Times New Roman"/>
          <w:i/>
          <w:iCs/>
          <w:sz w:val="24"/>
          <w:szCs w:val="24"/>
        </w:rPr>
        <w:t xml:space="preserve">Journal </w:t>
      </w:r>
      <w:proofErr w:type="gramStart"/>
      <w:r w:rsidR="0010446A" w:rsidRPr="00A40AD3">
        <w:rPr>
          <w:rFonts w:ascii="Times New Roman" w:eastAsia="Times New Roman" w:hAnsi="Times New Roman" w:cs="Times New Roman"/>
          <w:i/>
          <w:iCs/>
          <w:sz w:val="24"/>
          <w:szCs w:val="24"/>
        </w:rPr>
        <w:t>Of</w:t>
      </w:r>
      <w:proofErr w:type="gramEnd"/>
      <w:r w:rsidR="0010446A" w:rsidRPr="00A40AD3">
        <w:rPr>
          <w:rFonts w:ascii="Times New Roman" w:eastAsia="Times New Roman" w:hAnsi="Times New Roman" w:cs="Times New Roman"/>
          <w:i/>
          <w:iCs/>
          <w:sz w:val="24"/>
          <w:szCs w:val="24"/>
        </w:rPr>
        <w:t xml:space="preserve"> Business &amp; </w:t>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t>Economics Research</w:t>
      </w:r>
      <w:r w:rsidR="0010446A" w:rsidRPr="00A40AD3">
        <w:rPr>
          <w:rFonts w:ascii="Times New Roman" w:eastAsia="Times New Roman" w:hAnsi="Times New Roman" w:cs="Times New Roman"/>
          <w:sz w:val="24"/>
          <w:szCs w:val="24"/>
        </w:rPr>
        <w:t xml:space="preserve"> 10.7 (2012): 397-405. </w:t>
      </w:r>
      <w:r w:rsidR="0010446A" w:rsidRPr="00A40AD3">
        <w:rPr>
          <w:rFonts w:ascii="Times New Roman" w:eastAsia="Times New Roman" w:hAnsi="Times New Roman" w:cs="Times New Roman"/>
          <w:i/>
          <w:iCs/>
          <w:sz w:val="24"/>
          <w:szCs w:val="24"/>
        </w:rPr>
        <w:t xml:space="preserve">Business Source </w:t>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r>
      <w:r w:rsidR="0010446A" w:rsidRPr="00A40AD3">
        <w:rPr>
          <w:rFonts w:ascii="Times New Roman" w:eastAsia="Times New Roman" w:hAnsi="Times New Roman" w:cs="Times New Roman"/>
          <w:i/>
          <w:iCs/>
          <w:sz w:val="24"/>
          <w:szCs w:val="24"/>
        </w:rPr>
        <w:tab/>
        <w:t>Complete</w:t>
      </w:r>
      <w:r w:rsidR="0010446A" w:rsidRPr="00A40AD3">
        <w:rPr>
          <w:rFonts w:ascii="Times New Roman" w:eastAsia="Times New Roman" w:hAnsi="Times New Roman" w:cs="Times New Roman"/>
          <w:sz w:val="24"/>
          <w:szCs w:val="24"/>
        </w:rPr>
        <w:t>. Web. 22 May 2013.</w:t>
      </w:r>
    </w:p>
    <w:p w:rsidR="00680341" w:rsidRPr="00A40AD3" w:rsidRDefault="00680341" w:rsidP="00680341">
      <w:pPr>
        <w:spacing w:line="240" w:lineRule="auto"/>
        <w:ind w:firstLine="720"/>
        <w:rPr>
          <w:rFonts w:ascii="Times New Roman" w:eastAsia="Times New Roman" w:hAnsi="Times New Roman" w:cs="Times New Roman"/>
          <w:sz w:val="24"/>
          <w:szCs w:val="24"/>
        </w:rPr>
      </w:pPr>
      <w:r w:rsidRPr="00A40AD3">
        <w:rPr>
          <w:rFonts w:ascii="Times New Roman" w:eastAsia="Times New Roman" w:hAnsi="Times New Roman" w:cs="Times New Roman"/>
          <w:sz w:val="24"/>
          <w:szCs w:val="24"/>
        </w:rPr>
        <w:t>Jones, Sally, “Principals of Taxation.”  For Business and Investment Planning.  McGraw-</w:t>
      </w:r>
      <w:r w:rsidRPr="00A40AD3">
        <w:rPr>
          <w:rFonts w:ascii="Times New Roman" w:eastAsia="Times New Roman" w:hAnsi="Times New Roman" w:cs="Times New Roman"/>
          <w:sz w:val="24"/>
          <w:szCs w:val="24"/>
        </w:rPr>
        <w:tab/>
      </w:r>
      <w:r w:rsidRPr="00A40AD3">
        <w:rPr>
          <w:rFonts w:ascii="Times New Roman" w:eastAsia="Times New Roman" w:hAnsi="Times New Roman" w:cs="Times New Roman"/>
          <w:sz w:val="24"/>
          <w:szCs w:val="24"/>
        </w:rPr>
        <w:tab/>
      </w:r>
      <w:r w:rsidRPr="00A40AD3">
        <w:rPr>
          <w:rFonts w:ascii="Times New Roman" w:eastAsia="Times New Roman" w:hAnsi="Times New Roman" w:cs="Times New Roman"/>
          <w:sz w:val="24"/>
          <w:szCs w:val="24"/>
        </w:rPr>
        <w:tab/>
        <w:t xml:space="preserve">Hill.  2014 Edition  </w:t>
      </w:r>
    </w:p>
    <w:p w:rsidR="00A40AD3" w:rsidRPr="00A40AD3" w:rsidRDefault="00A40AD3" w:rsidP="00A40AD3">
      <w:pPr>
        <w:shd w:val="clear" w:color="auto" w:fill="FFFFFF"/>
        <w:ind w:left="720"/>
        <w:rPr>
          <w:rFonts w:ascii="Times New Roman" w:hAnsi="Times New Roman" w:cs="Times New Roman"/>
          <w:sz w:val="24"/>
          <w:szCs w:val="24"/>
        </w:rPr>
      </w:pPr>
      <w:r w:rsidRPr="00A40AD3">
        <w:rPr>
          <w:rFonts w:ascii="Times New Roman" w:hAnsi="Times New Roman" w:cs="Times New Roman"/>
          <w:sz w:val="24"/>
          <w:szCs w:val="24"/>
        </w:rPr>
        <w:t xml:space="preserve">Kluwer, </w:t>
      </w:r>
      <w:proofErr w:type="spellStart"/>
      <w:r w:rsidRPr="00A40AD3">
        <w:rPr>
          <w:rFonts w:ascii="Times New Roman" w:hAnsi="Times New Roman" w:cs="Times New Roman"/>
          <w:sz w:val="24"/>
          <w:szCs w:val="24"/>
        </w:rPr>
        <w:t>Wolters</w:t>
      </w:r>
      <w:proofErr w:type="spellEnd"/>
      <w:r w:rsidRPr="00A40AD3">
        <w:rPr>
          <w:rFonts w:ascii="Times New Roman" w:hAnsi="Times New Roman" w:cs="Times New Roman"/>
          <w:sz w:val="24"/>
          <w:szCs w:val="24"/>
        </w:rPr>
        <w:t xml:space="preserve">.  CCH Database.  “Traditional IRA, Roth IRA.”  2013.  Web.  June 9, </w:t>
      </w:r>
      <w:r w:rsidRPr="00A40AD3">
        <w:rPr>
          <w:rFonts w:ascii="Times New Roman" w:hAnsi="Times New Roman" w:cs="Times New Roman"/>
          <w:sz w:val="24"/>
          <w:szCs w:val="24"/>
        </w:rPr>
        <w:tab/>
        <w:t xml:space="preserve">2013.  </w:t>
      </w:r>
      <w:r w:rsidRPr="00A40AD3">
        <w:rPr>
          <w:rFonts w:ascii="Times New Roman" w:hAnsi="Times New Roman" w:cs="Times New Roman"/>
          <w:sz w:val="24"/>
          <w:szCs w:val="24"/>
        </w:rPr>
        <w:tab/>
        <w:t>http://intelliconnect.cch.com/scion/secure/index.jsp?isFirstTimeUser=true&amp;cpid=</w:t>
      </w:r>
      <w:r w:rsidRPr="00A40AD3">
        <w:rPr>
          <w:rFonts w:ascii="Times New Roman" w:hAnsi="Times New Roman" w:cs="Times New Roman"/>
          <w:sz w:val="24"/>
          <w:szCs w:val="24"/>
        </w:rPr>
        <w:tab/>
      </w:r>
      <w:proofErr w:type="spellStart"/>
      <w:r w:rsidRPr="00A40AD3">
        <w:rPr>
          <w:rFonts w:ascii="Times New Roman" w:hAnsi="Times New Roman" w:cs="Times New Roman"/>
          <w:sz w:val="24"/>
          <w:szCs w:val="24"/>
        </w:rPr>
        <w:t>WKUS-TAA-IC#</w:t>
      </w:r>
      <w:proofErr w:type="gramStart"/>
      <w:r w:rsidRPr="00A40AD3">
        <w:rPr>
          <w:rFonts w:ascii="Times New Roman" w:hAnsi="Times New Roman" w:cs="Times New Roman"/>
          <w:sz w:val="24"/>
          <w:szCs w:val="24"/>
        </w:rPr>
        <w:t>page</w:t>
      </w:r>
      <w:proofErr w:type="spellEnd"/>
      <w:r w:rsidRPr="00A40AD3">
        <w:rPr>
          <w:rFonts w:ascii="Times New Roman" w:hAnsi="Times New Roman" w:cs="Times New Roman"/>
          <w:sz w:val="24"/>
          <w:szCs w:val="24"/>
        </w:rPr>
        <w:t>[</w:t>
      </w:r>
      <w:proofErr w:type="gramEnd"/>
      <w:r w:rsidRPr="00A40AD3">
        <w:rPr>
          <w:rFonts w:ascii="Times New Roman" w:hAnsi="Times New Roman" w:cs="Times New Roman"/>
          <w:sz w:val="24"/>
          <w:szCs w:val="24"/>
        </w:rPr>
        <w:t>44]</w:t>
      </w:r>
    </w:p>
    <w:p w:rsidR="0010446A" w:rsidRPr="00A40AD3" w:rsidRDefault="0010446A" w:rsidP="0010446A">
      <w:pPr>
        <w:shd w:val="clear" w:color="auto" w:fill="FFFFFF"/>
        <w:ind w:left="720"/>
        <w:rPr>
          <w:rFonts w:ascii="Times New Roman" w:eastAsia="Times New Roman" w:hAnsi="Times New Roman" w:cs="Times New Roman"/>
          <w:sz w:val="24"/>
          <w:szCs w:val="24"/>
        </w:rPr>
      </w:pPr>
      <w:proofErr w:type="spellStart"/>
      <w:r w:rsidRPr="00A40AD3">
        <w:rPr>
          <w:rFonts w:ascii="Times New Roman" w:hAnsi="Times New Roman" w:cs="Times New Roman"/>
          <w:sz w:val="24"/>
          <w:szCs w:val="24"/>
        </w:rPr>
        <w:t>Tannahill</w:t>
      </w:r>
      <w:proofErr w:type="spellEnd"/>
      <w:r w:rsidRPr="00A40AD3">
        <w:rPr>
          <w:rFonts w:ascii="Times New Roman" w:hAnsi="Times New Roman" w:cs="Times New Roman"/>
          <w:sz w:val="24"/>
          <w:szCs w:val="24"/>
        </w:rPr>
        <w:t xml:space="preserve">, Bruce A. "Should I Stay </w:t>
      </w:r>
      <w:proofErr w:type="gramStart"/>
      <w:r w:rsidRPr="00A40AD3">
        <w:rPr>
          <w:rFonts w:ascii="Times New Roman" w:hAnsi="Times New Roman" w:cs="Times New Roman"/>
          <w:sz w:val="24"/>
          <w:szCs w:val="24"/>
        </w:rPr>
        <w:t>Or</w:t>
      </w:r>
      <w:proofErr w:type="gramEnd"/>
      <w:r w:rsidRPr="00A40AD3">
        <w:rPr>
          <w:rFonts w:ascii="Times New Roman" w:hAnsi="Times New Roman" w:cs="Times New Roman"/>
          <w:sz w:val="24"/>
          <w:szCs w:val="24"/>
        </w:rPr>
        <w:t xml:space="preserve"> Should I Go? Deciding What </w:t>
      </w:r>
      <w:proofErr w:type="gramStart"/>
      <w:r w:rsidRPr="00A40AD3">
        <w:rPr>
          <w:rFonts w:ascii="Times New Roman" w:hAnsi="Times New Roman" w:cs="Times New Roman"/>
          <w:sz w:val="24"/>
          <w:szCs w:val="24"/>
        </w:rPr>
        <w:t>To</w:t>
      </w:r>
      <w:proofErr w:type="gramEnd"/>
      <w:r w:rsidRPr="00A40AD3">
        <w:rPr>
          <w:rFonts w:ascii="Times New Roman" w:hAnsi="Times New Roman" w:cs="Times New Roman"/>
          <w:sz w:val="24"/>
          <w:szCs w:val="24"/>
        </w:rPr>
        <w:t xml:space="preserve"> Do </w:t>
      </w:r>
      <w:r w:rsidRPr="00A40AD3">
        <w:rPr>
          <w:rFonts w:ascii="Times New Roman" w:hAnsi="Times New Roman" w:cs="Times New Roman"/>
          <w:sz w:val="24"/>
          <w:szCs w:val="24"/>
        </w:rPr>
        <w:tab/>
        <w:t xml:space="preserve">With </w:t>
      </w:r>
      <w:r w:rsidRPr="00A40AD3">
        <w:rPr>
          <w:rFonts w:ascii="Times New Roman" w:hAnsi="Times New Roman" w:cs="Times New Roman"/>
          <w:sz w:val="24"/>
          <w:szCs w:val="24"/>
        </w:rPr>
        <w:tab/>
        <w:t xml:space="preserve">Money In A Former Employer's Retirement Plan." </w:t>
      </w:r>
      <w:r w:rsidRPr="00A40AD3">
        <w:rPr>
          <w:rFonts w:ascii="Times New Roman" w:hAnsi="Times New Roman" w:cs="Times New Roman"/>
          <w:i/>
          <w:iCs/>
          <w:sz w:val="24"/>
          <w:szCs w:val="24"/>
        </w:rPr>
        <w:t xml:space="preserve">Journal </w:t>
      </w:r>
      <w:proofErr w:type="gramStart"/>
      <w:r w:rsidRPr="00A40AD3">
        <w:rPr>
          <w:rFonts w:ascii="Times New Roman" w:hAnsi="Times New Roman" w:cs="Times New Roman"/>
          <w:i/>
          <w:iCs/>
          <w:sz w:val="24"/>
          <w:szCs w:val="24"/>
        </w:rPr>
        <w:t>Of</w:t>
      </w:r>
      <w:proofErr w:type="gramEnd"/>
      <w:r w:rsidRPr="00A40AD3">
        <w:rPr>
          <w:rFonts w:ascii="Times New Roman" w:hAnsi="Times New Roman" w:cs="Times New Roman"/>
          <w:i/>
          <w:iCs/>
          <w:sz w:val="24"/>
          <w:szCs w:val="24"/>
        </w:rPr>
        <w:t xml:space="preserve"> </w:t>
      </w:r>
      <w:r w:rsidRPr="00A40AD3">
        <w:rPr>
          <w:rFonts w:ascii="Times New Roman" w:hAnsi="Times New Roman" w:cs="Times New Roman"/>
          <w:i/>
          <w:iCs/>
          <w:sz w:val="24"/>
          <w:szCs w:val="24"/>
        </w:rPr>
        <w:tab/>
        <w:t xml:space="preserve">Financial </w:t>
      </w:r>
      <w:r w:rsidRPr="00A40AD3">
        <w:rPr>
          <w:rFonts w:ascii="Times New Roman" w:hAnsi="Times New Roman" w:cs="Times New Roman"/>
          <w:i/>
          <w:iCs/>
          <w:sz w:val="24"/>
          <w:szCs w:val="24"/>
        </w:rPr>
        <w:tab/>
        <w:t>Service Professionals</w:t>
      </w:r>
      <w:r w:rsidRPr="00A40AD3">
        <w:rPr>
          <w:rFonts w:ascii="Times New Roman" w:hAnsi="Times New Roman" w:cs="Times New Roman"/>
          <w:sz w:val="24"/>
          <w:szCs w:val="24"/>
        </w:rPr>
        <w:t xml:space="preserve"> 66.6 (2012): 33-35. </w:t>
      </w:r>
      <w:r w:rsidRPr="00A40AD3">
        <w:rPr>
          <w:rFonts w:ascii="Times New Roman" w:hAnsi="Times New Roman" w:cs="Times New Roman"/>
          <w:i/>
          <w:iCs/>
          <w:sz w:val="24"/>
          <w:szCs w:val="24"/>
        </w:rPr>
        <w:t xml:space="preserve">Business Source </w:t>
      </w:r>
      <w:r w:rsidRPr="00A40AD3">
        <w:rPr>
          <w:rFonts w:ascii="Times New Roman" w:hAnsi="Times New Roman" w:cs="Times New Roman"/>
          <w:i/>
          <w:iCs/>
          <w:sz w:val="24"/>
          <w:szCs w:val="24"/>
        </w:rPr>
        <w:tab/>
        <w:t>Complete</w:t>
      </w:r>
      <w:r w:rsidRPr="00A40AD3">
        <w:rPr>
          <w:rFonts w:ascii="Times New Roman" w:hAnsi="Times New Roman" w:cs="Times New Roman"/>
          <w:sz w:val="24"/>
          <w:szCs w:val="24"/>
        </w:rPr>
        <w:t xml:space="preserve">. Web. 22 </w:t>
      </w:r>
      <w:r w:rsidRPr="00A40AD3">
        <w:rPr>
          <w:rFonts w:ascii="Times New Roman" w:hAnsi="Times New Roman" w:cs="Times New Roman"/>
          <w:sz w:val="24"/>
          <w:szCs w:val="24"/>
        </w:rPr>
        <w:tab/>
        <w:t>May 2013.</w:t>
      </w:r>
    </w:p>
    <w:p w:rsidR="0010446A" w:rsidRPr="00A40AD3" w:rsidRDefault="0010446A" w:rsidP="0010446A">
      <w:pPr>
        <w:shd w:val="clear" w:color="auto" w:fill="FFFFFF"/>
        <w:ind w:left="720"/>
        <w:rPr>
          <w:rFonts w:ascii="Times New Roman" w:hAnsi="Times New Roman" w:cs="Times New Roman"/>
          <w:sz w:val="24"/>
          <w:szCs w:val="24"/>
        </w:rPr>
      </w:pPr>
      <w:proofErr w:type="spellStart"/>
      <w:r w:rsidRPr="00A40AD3">
        <w:rPr>
          <w:rFonts w:ascii="Times New Roman" w:hAnsi="Times New Roman" w:cs="Times New Roman"/>
          <w:sz w:val="24"/>
          <w:szCs w:val="24"/>
        </w:rPr>
        <w:t>Tannahill</w:t>
      </w:r>
      <w:proofErr w:type="spellEnd"/>
      <w:r w:rsidRPr="00A40AD3">
        <w:rPr>
          <w:rFonts w:ascii="Times New Roman" w:hAnsi="Times New Roman" w:cs="Times New Roman"/>
          <w:sz w:val="24"/>
          <w:szCs w:val="24"/>
        </w:rPr>
        <w:t xml:space="preserve">, Bruce A. "Retirement Plans Can Provide Last-Minute Income </w:t>
      </w:r>
      <w:r w:rsidRPr="00A40AD3">
        <w:rPr>
          <w:rFonts w:ascii="Times New Roman" w:hAnsi="Times New Roman" w:cs="Times New Roman"/>
          <w:sz w:val="24"/>
          <w:szCs w:val="24"/>
        </w:rPr>
        <w:tab/>
        <w:t xml:space="preserve">Tax </w:t>
      </w:r>
      <w:r w:rsidRPr="00A40AD3">
        <w:rPr>
          <w:rFonts w:ascii="Times New Roman" w:hAnsi="Times New Roman" w:cs="Times New Roman"/>
          <w:sz w:val="24"/>
          <w:szCs w:val="24"/>
        </w:rPr>
        <w:tab/>
        <w:t xml:space="preserve">Deductions." </w:t>
      </w:r>
      <w:r w:rsidRPr="00A40AD3">
        <w:rPr>
          <w:rFonts w:ascii="Times New Roman" w:hAnsi="Times New Roman" w:cs="Times New Roman"/>
          <w:i/>
          <w:iCs/>
          <w:sz w:val="24"/>
          <w:szCs w:val="24"/>
        </w:rPr>
        <w:t xml:space="preserve">Journal </w:t>
      </w:r>
      <w:proofErr w:type="gramStart"/>
      <w:r w:rsidRPr="00A40AD3">
        <w:rPr>
          <w:rFonts w:ascii="Times New Roman" w:hAnsi="Times New Roman" w:cs="Times New Roman"/>
          <w:i/>
          <w:iCs/>
          <w:sz w:val="24"/>
          <w:szCs w:val="24"/>
        </w:rPr>
        <w:t>Of</w:t>
      </w:r>
      <w:proofErr w:type="gramEnd"/>
      <w:r w:rsidRPr="00A40AD3">
        <w:rPr>
          <w:rFonts w:ascii="Times New Roman" w:hAnsi="Times New Roman" w:cs="Times New Roman"/>
          <w:i/>
          <w:iCs/>
          <w:sz w:val="24"/>
          <w:szCs w:val="24"/>
        </w:rPr>
        <w:t xml:space="preserve"> Financial Service Professionals</w:t>
      </w:r>
      <w:r w:rsidRPr="00A40AD3">
        <w:rPr>
          <w:rFonts w:ascii="Times New Roman" w:hAnsi="Times New Roman" w:cs="Times New Roman"/>
          <w:sz w:val="24"/>
          <w:szCs w:val="24"/>
        </w:rPr>
        <w:t xml:space="preserve"> 67.2 </w:t>
      </w:r>
      <w:r w:rsidRPr="00A40AD3">
        <w:rPr>
          <w:rFonts w:ascii="Times New Roman" w:hAnsi="Times New Roman" w:cs="Times New Roman"/>
          <w:sz w:val="24"/>
          <w:szCs w:val="24"/>
        </w:rPr>
        <w:tab/>
        <w:t xml:space="preserve">(2013): 35-39. </w:t>
      </w:r>
      <w:r w:rsidRPr="00A40AD3">
        <w:rPr>
          <w:rFonts w:ascii="Times New Roman" w:hAnsi="Times New Roman" w:cs="Times New Roman"/>
          <w:sz w:val="24"/>
          <w:szCs w:val="24"/>
        </w:rPr>
        <w:tab/>
      </w:r>
      <w:r w:rsidRPr="00A40AD3">
        <w:rPr>
          <w:rFonts w:ascii="Times New Roman" w:hAnsi="Times New Roman" w:cs="Times New Roman"/>
          <w:i/>
          <w:iCs/>
          <w:sz w:val="24"/>
          <w:szCs w:val="24"/>
        </w:rPr>
        <w:t>Business Source Complete</w:t>
      </w:r>
      <w:r w:rsidRPr="00A40AD3">
        <w:rPr>
          <w:rFonts w:ascii="Times New Roman" w:hAnsi="Times New Roman" w:cs="Times New Roman"/>
          <w:sz w:val="24"/>
          <w:szCs w:val="24"/>
        </w:rPr>
        <w:t>. Web. 22 May 2013.</w:t>
      </w:r>
    </w:p>
    <w:p w:rsidR="00680341" w:rsidRPr="00A40AD3" w:rsidRDefault="00680341" w:rsidP="00680341">
      <w:pPr>
        <w:spacing w:before="100" w:beforeAutospacing="1" w:after="100" w:afterAutospacing="1" w:line="240" w:lineRule="auto"/>
        <w:ind w:left="720"/>
        <w:outlineLvl w:val="0"/>
        <w:rPr>
          <w:rFonts w:ascii="Times New Roman" w:eastAsia="Times New Roman" w:hAnsi="Times New Roman" w:cs="Times New Roman"/>
          <w:bCs/>
          <w:kern w:val="36"/>
          <w:sz w:val="24"/>
          <w:szCs w:val="24"/>
        </w:rPr>
      </w:pPr>
      <w:r w:rsidRPr="00680341">
        <w:rPr>
          <w:rFonts w:ascii="Times New Roman" w:eastAsia="Times New Roman" w:hAnsi="Times New Roman" w:cs="Times New Roman"/>
          <w:bCs/>
          <w:kern w:val="36"/>
          <w:sz w:val="24"/>
          <w:szCs w:val="24"/>
        </w:rPr>
        <w:t xml:space="preserve">Tax Court Small Tax Cases (Archive), Linda L. </w:t>
      </w:r>
      <w:proofErr w:type="spellStart"/>
      <w:r w:rsidRPr="00680341">
        <w:rPr>
          <w:rFonts w:ascii="Times New Roman" w:eastAsia="Times New Roman" w:hAnsi="Times New Roman" w:cs="Times New Roman"/>
          <w:bCs/>
          <w:kern w:val="36"/>
          <w:sz w:val="24"/>
          <w:szCs w:val="24"/>
        </w:rPr>
        <w:t>Domanico</w:t>
      </w:r>
      <w:proofErr w:type="spellEnd"/>
      <w:r w:rsidRPr="00680341">
        <w:rPr>
          <w:rFonts w:ascii="Times New Roman" w:eastAsia="Times New Roman" w:hAnsi="Times New Roman" w:cs="Times New Roman"/>
          <w:bCs/>
          <w:kern w:val="36"/>
          <w:sz w:val="24"/>
          <w:szCs w:val="24"/>
        </w:rPr>
        <w:t xml:space="preserve"> and Anthony M. </w:t>
      </w:r>
      <w:proofErr w:type="spellStart"/>
      <w:r w:rsidRPr="00680341">
        <w:rPr>
          <w:rFonts w:ascii="Times New Roman" w:eastAsia="Times New Roman" w:hAnsi="Times New Roman" w:cs="Times New Roman"/>
          <w:bCs/>
          <w:kern w:val="36"/>
          <w:sz w:val="24"/>
          <w:szCs w:val="24"/>
        </w:rPr>
        <w:t>Domanico</w:t>
      </w:r>
      <w:proofErr w:type="spellEnd"/>
      <w:r w:rsidRPr="00680341">
        <w:rPr>
          <w:rFonts w:ascii="Times New Roman" w:eastAsia="Times New Roman" w:hAnsi="Times New Roman" w:cs="Times New Roman"/>
          <w:bCs/>
          <w:kern w:val="36"/>
          <w:sz w:val="24"/>
          <w:szCs w:val="24"/>
        </w:rPr>
        <w:t xml:space="preserve"> v. </w:t>
      </w:r>
      <w:r w:rsidRPr="00A40AD3">
        <w:rPr>
          <w:rFonts w:ascii="Times New Roman" w:eastAsia="Times New Roman" w:hAnsi="Times New Roman" w:cs="Times New Roman"/>
          <w:bCs/>
          <w:kern w:val="36"/>
          <w:sz w:val="24"/>
          <w:szCs w:val="24"/>
        </w:rPr>
        <w:tab/>
      </w:r>
      <w:r w:rsidRPr="00680341">
        <w:rPr>
          <w:rFonts w:ascii="Times New Roman" w:eastAsia="Times New Roman" w:hAnsi="Times New Roman" w:cs="Times New Roman"/>
          <w:bCs/>
          <w:kern w:val="36"/>
          <w:sz w:val="24"/>
          <w:szCs w:val="24"/>
        </w:rPr>
        <w:t xml:space="preserve">Commissioner., U.S. Tax Court, T.C. Summary Opinion 2006-55, (Apr. 19, </w:t>
      </w:r>
      <w:r w:rsidRPr="00A40AD3">
        <w:rPr>
          <w:rFonts w:ascii="Times New Roman" w:eastAsia="Times New Roman" w:hAnsi="Times New Roman" w:cs="Times New Roman"/>
          <w:bCs/>
          <w:kern w:val="36"/>
          <w:sz w:val="24"/>
          <w:szCs w:val="24"/>
        </w:rPr>
        <w:tab/>
      </w:r>
      <w:r w:rsidRPr="00680341">
        <w:rPr>
          <w:rFonts w:ascii="Times New Roman" w:eastAsia="Times New Roman" w:hAnsi="Times New Roman" w:cs="Times New Roman"/>
          <w:bCs/>
          <w:kern w:val="36"/>
          <w:sz w:val="24"/>
          <w:szCs w:val="24"/>
        </w:rPr>
        <w:t>2006)</w:t>
      </w:r>
      <w:r w:rsidRPr="00A40AD3">
        <w:rPr>
          <w:rFonts w:ascii="Times New Roman" w:eastAsia="Times New Roman" w:hAnsi="Times New Roman" w:cs="Times New Roman"/>
          <w:bCs/>
          <w:kern w:val="36"/>
          <w:sz w:val="24"/>
          <w:szCs w:val="24"/>
        </w:rPr>
        <w:t xml:space="preserve">, </w:t>
      </w:r>
      <w:r w:rsidRPr="00680341">
        <w:rPr>
          <w:rFonts w:ascii="Times New Roman" w:eastAsia="Times New Roman" w:hAnsi="Times New Roman" w:cs="Times New Roman"/>
          <w:sz w:val="24"/>
          <w:szCs w:val="24"/>
        </w:rPr>
        <w:t>Docket No. 18992-</w:t>
      </w:r>
      <w:proofErr w:type="gramStart"/>
      <w:r w:rsidRPr="00680341">
        <w:rPr>
          <w:rFonts w:ascii="Times New Roman" w:eastAsia="Times New Roman" w:hAnsi="Times New Roman" w:cs="Times New Roman"/>
          <w:sz w:val="24"/>
          <w:szCs w:val="24"/>
        </w:rPr>
        <w:t>04S .</w:t>
      </w:r>
      <w:proofErr w:type="gramEnd"/>
      <w:r w:rsidRPr="00680341">
        <w:rPr>
          <w:rFonts w:ascii="Times New Roman" w:eastAsia="Times New Roman" w:hAnsi="Times New Roman" w:cs="Times New Roman"/>
          <w:sz w:val="24"/>
          <w:szCs w:val="24"/>
        </w:rPr>
        <w:t xml:space="preserve"> Filed April 19, 2006</w:t>
      </w:r>
      <w:bookmarkStart w:id="2" w:name="subdoc9"/>
      <w:bookmarkStart w:id="3" w:name="20130108T1959565350600d8e499310VA5585"/>
      <w:bookmarkEnd w:id="2"/>
      <w:bookmarkEnd w:id="3"/>
      <w:r w:rsidRPr="00A40AD3">
        <w:rPr>
          <w:rFonts w:ascii="Times New Roman" w:eastAsia="Times New Roman" w:hAnsi="Times New Roman" w:cs="Times New Roman"/>
          <w:sz w:val="24"/>
          <w:szCs w:val="24"/>
        </w:rPr>
        <w:t xml:space="preserve">. Code Section 72.  CCH, A </w:t>
      </w:r>
      <w:r w:rsidRPr="00A40AD3">
        <w:rPr>
          <w:rFonts w:ascii="Times New Roman" w:eastAsia="Times New Roman" w:hAnsi="Times New Roman" w:cs="Times New Roman"/>
          <w:sz w:val="24"/>
          <w:szCs w:val="24"/>
        </w:rPr>
        <w:tab/>
      </w:r>
      <w:proofErr w:type="spellStart"/>
      <w:r w:rsidRPr="00A40AD3">
        <w:rPr>
          <w:rFonts w:ascii="Times New Roman" w:eastAsia="Times New Roman" w:hAnsi="Times New Roman" w:cs="Times New Roman"/>
          <w:sz w:val="24"/>
          <w:szCs w:val="24"/>
        </w:rPr>
        <w:t>Wolter</w:t>
      </w:r>
      <w:proofErr w:type="spellEnd"/>
      <w:r w:rsidRPr="00A40AD3">
        <w:rPr>
          <w:rFonts w:ascii="Times New Roman" w:eastAsia="Times New Roman" w:hAnsi="Times New Roman" w:cs="Times New Roman"/>
          <w:sz w:val="24"/>
          <w:szCs w:val="24"/>
        </w:rPr>
        <w:t xml:space="preserve"> Kluwer Business. </w:t>
      </w:r>
    </w:p>
    <w:p w:rsidR="0010446A" w:rsidRPr="00A40AD3" w:rsidRDefault="0010446A" w:rsidP="00680341">
      <w:pPr>
        <w:shd w:val="clear" w:color="auto" w:fill="FFFFFF"/>
        <w:ind w:left="720"/>
        <w:rPr>
          <w:rFonts w:ascii="Times New Roman" w:hAnsi="Times New Roman" w:cs="Times New Roman"/>
          <w:sz w:val="24"/>
          <w:szCs w:val="24"/>
        </w:rPr>
      </w:pPr>
      <w:r w:rsidRPr="00A40AD3">
        <w:rPr>
          <w:rFonts w:ascii="Times New Roman" w:hAnsi="Times New Roman" w:cs="Times New Roman"/>
          <w:sz w:val="24"/>
          <w:szCs w:val="24"/>
        </w:rPr>
        <w:t xml:space="preserve">"Where </w:t>
      </w:r>
      <w:proofErr w:type="gramStart"/>
      <w:r w:rsidRPr="00A40AD3">
        <w:rPr>
          <w:rFonts w:ascii="Times New Roman" w:hAnsi="Times New Roman" w:cs="Times New Roman"/>
          <w:sz w:val="24"/>
          <w:szCs w:val="24"/>
        </w:rPr>
        <w:t>To</w:t>
      </w:r>
      <w:proofErr w:type="gramEnd"/>
      <w:r w:rsidRPr="00A40AD3">
        <w:rPr>
          <w:rFonts w:ascii="Times New Roman" w:hAnsi="Times New Roman" w:cs="Times New Roman"/>
          <w:sz w:val="24"/>
          <w:szCs w:val="24"/>
        </w:rPr>
        <w:t xml:space="preserve"> Put Retirement Savings." </w:t>
      </w:r>
      <w:r w:rsidRPr="00A40AD3">
        <w:rPr>
          <w:rFonts w:ascii="Times New Roman" w:hAnsi="Times New Roman" w:cs="Times New Roman"/>
          <w:i/>
          <w:iCs/>
          <w:sz w:val="24"/>
          <w:szCs w:val="24"/>
        </w:rPr>
        <w:t>Consumer Reports Money Adviser</w:t>
      </w:r>
      <w:r w:rsidRPr="00A40AD3">
        <w:rPr>
          <w:rFonts w:ascii="Times New Roman" w:hAnsi="Times New Roman" w:cs="Times New Roman"/>
          <w:sz w:val="24"/>
          <w:szCs w:val="24"/>
        </w:rPr>
        <w:t xml:space="preserve"> </w:t>
      </w:r>
      <w:r w:rsidRPr="00A40AD3">
        <w:rPr>
          <w:rFonts w:ascii="Times New Roman" w:hAnsi="Times New Roman" w:cs="Times New Roman"/>
          <w:sz w:val="24"/>
          <w:szCs w:val="24"/>
        </w:rPr>
        <w:tab/>
        <w:t xml:space="preserve">9.11 (2012): </w:t>
      </w:r>
      <w:r w:rsidRPr="00A40AD3">
        <w:rPr>
          <w:rFonts w:ascii="Times New Roman" w:hAnsi="Times New Roman" w:cs="Times New Roman"/>
          <w:sz w:val="24"/>
          <w:szCs w:val="24"/>
        </w:rPr>
        <w:tab/>
        <w:t xml:space="preserve">12-13. </w:t>
      </w:r>
      <w:r w:rsidRPr="00A40AD3">
        <w:rPr>
          <w:rFonts w:ascii="Times New Roman" w:hAnsi="Times New Roman" w:cs="Times New Roman"/>
          <w:i/>
          <w:iCs/>
          <w:sz w:val="24"/>
          <w:szCs w:val="24"/>
        </w:rPr>
        <w:t>Business Source Complete</w:t>
      </w:r>
      <w:r w:rsidRPr="00A40AD3">
        <w:rPr>
          <w:rFonts w:ascii="Times New Roman" w:hAnsi="Times New Roman" w:cs="Times New Roman"/>
          <w:sz w:val="24"/>
          <w:szCs w:val="24"/>
        </w:rPr>
        <w:t>. Web. 22 May 2013.</w:t>
      </w:r>
    </w:p>
    <w:p w:rsidR="0010446A" w:rsidRPr="00A40AD3" w:rsidRDefault="0010446A" w:rsidP="0010446A">
      <w:pPr>
        <w:rPr>
          <w:rFonts w:ascii="Times New Roman" w:hAnsi="Times New Roman" w:cs="Times New Roman"/>
          <w:sz w:val="24"/>
          <w:szCs w:val="24"/>
        </w:rPr>
      </w:pPr>
    </w:p>
    <w:p w:rsidR="00AA756E" w:rsidRPr="00A40AD3" w:rsidRDefault="00AA756E" w:rsidP="00EB5A62">
      <w:pPr>
        <w:spacing w:line="480" w:lineRule="auto"/>
        <w:ind w:firstLine="720"/>
        <w:contextualSpacing/>
        <w:rPr>
          <w:rFonts w:ascii="Times New Roman" w:hAnsi="Times New Roman" w:cs="Times New Roman"/>
          <w:sz w:val="24"/>
          <w:szCs w:val="24"/>
        </w:rPr>
      </w:pPr>
      <w:bookmarkStart w:id="4" w:name="_GoBack"/>
      <w:bookmarkEnd w:id="4"/>
    </w:p>
    <w:sectPr w:rsidR="00AA756E" w:rsidRPr="00A40AD3" w:rsidSect="00B911D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B4" w:rsidRDefault="006A40B4" w:rsidP="0092329F">
      <w:pPr>
        <w:spacing w:after="0" w:line="240" w:lineRule="auto"/>
      </w:pPr>
      <w:r>
        <w:separator/>
      </w:r>
    </w:p>
  </w:endnote>
  <w:endnote w:type="continuationSeparator" w:id="0">
    <w:p w:rsidR="006A40B4" w:rsidRDefault="006A40B4" w:rsidP="0092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99768"/>
      <w:docPartObj>
        <w:docPartGallery w:val="Page Numbers (Bottom of Page)"/>
        <w:docPartUnique/>
      </w:docPartObj>
    </w:sdtPr>
    <w:sdtEndPr>
      <w:rPr>
        <w:noProof/>
      </w:rPr>
    </w:sdtEndPr>
    <w:sdtContent>
      <w:p w:rsidR="00B911D0" w:rsidRDefault="00B911D0">
        <w:pPr>
          <w:pStyle w:val="Footer"/>
          <w:jc w:val="right"/>
        </w:pPr>
        <w:r>
          <w:fldChar w:fldCharType="begin"/>
        </w:r>
        <w:r>
          <w:instrText xml:space="preserve"> PAGE   \* MERGEFORMAT </w:instrText>
        </w:r>
        <w:r>
          <w:fldChar w:fldCharType="separate"/>
        </w:r>
        <w:r w:rsidR="00045EA9">
          <w:rPr>
            <w:noProof/>
          </w:rPr>
          <w:t>9</w:t>
        </w:r>
        <w:r>
          <w:rPr>
            <w:noProof/>
          </w:rPr>
          <w:fldChar w:fldCharType="end"/>
        </w:r>
      </w:p>
    </w:sdtContent>
  </w:sdt>
  <w:p w:rsidR="00B911D0" w:rsidRDefault="00B9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B4" w:rsidRDefault="006A40B4" w:rsidP="0092329F">
      <w:pPr>
        <w:spacing w:after="0" w:line="240" w:lineRule="auto"/>
      </w:pPr>
      <w:r>
        <w:separator/>
      </w:r>
    </w:p>
  </w:footnote>
  <w:footnote w:type="continuationSeparator" w:id="0">
    <w:p w:rsidR="006A40B4" w:rsidRDefault="006A40B4" w:rsidP="0092329F">
      <w:pPr>
        <w:spacing w:after="0" w:line="240" w:lineRule="auto"/>
      </w:pPr>
      <w:r>
        <w:continuationSeparator/>
      </w:r>
    </w:p>
  </w:footnote>
  <w:footnote w:id="1">
    <w:p w:rsidR="00AE37DF" w:rsidRDefault="00AE37DF">
      <w:pPr>
        <w:pStyle w:val="FootnoteText"/>
      </w:pPr>
      <w:r>
        <w:rPr>
          <w:rStyle w:val="FootnoteReference"/>
        </w:rPr>
        <w:footnoteRef/>
      </w:r>
      <w:r>
        <w:t xml:space="preserve"> (§</w:t>
      </w:r>
      <w:r w:rsidRPr="00125B29">
        <w:t>18,922.0325</w:t>
      </w:r>
      <w:r>
        <w:t>)</w:t>
      </w:r>
    </w:p>
  </w:footnote>
  <w:footnote w:id="2">
    <w:p w:rsidR="00AE37DF" w:rsidRDefault="00AE37DF">
      <w:pPr>
        <w:pStyle w:val="FootnoteText"/>
      </w:pPr>
      <w:r>
        <w:rPr>
          <w:rStyle w:val="FootnoteReference"/>
        </w:rPr>
        <w:footnoteRef/>
      </w:r>
      <w:r>
        <w:t xml:space="preserve"> (§219(g) (4)</w:t>
      </w:r>
    </w:p>
  </w:footnote>
  <w:footnote w:id="3">
    <w:p w:rsidR="00757AF9" w:rsidRDefault="00757AF9">
      <w:pPr>
        <w:pStyle w:val="FootnoteText"/>
      </w:pPr>
      <w:r>
        <w:rPr>
          <w:rStyle w:val="FootnoteReference"/>
        </w:rPr>
        <w:footnoteRef/>
      </w:r>
      <w:r>
        <w:t xml:space="preserve"> (§219(g) (7)</w:t>
      </w:r>
    </w:p>
  </w:footnote>
  <w:footnote w:id="4">
    <w:p w:rsidR="00757AF9" w:rsidRDefault="00757AF9">
      <w:pPr>
        <w:pStyle w:val="FootnoteText"/>
      </w:pPr>
      <w:r>
        <w:rPr>
          <w:rStyle w:val="FootnoteReference"/>
        </w:rPr>
        <w:footnoteRef/>
      </w:r>
      <w:r>
        <w:t xml:space="preserve"> (§219 (d) (1))</w:t>
      </w:r>
    </w:p>
  </w:footnote>
  <w:footnote w:id="5">
    <w:p w:rsidR="00757AF9" w:rsidRDefault="00757AF9">
      <w:pPr>
        <w:pStyle w:val="FootnoteText"/>
      </w:pPr>
      <w:r>
        <w:rPr>
          <w:rStyle w:val="FootnoteReference"/>
        </w:rPr>
        <w:footnoteRef/>
      </w:r>
      <w:r>
        <w:t xml:space="preserve"> (Code Sec. 402(c) (4); Reg. §1.402 (c)-2)</w:t>
      </w:r>
    </w:p>
  </w:footnote>
  <w:footnote w:id="6">
    <w:p w:rsidR="00757AF9" w:rsidRDefault="00757AF9">
      <w:pPr>
        <w:pStyle w:val="FootnoteText"/>
      </w:pPr>
      <w:r>
        <w:rPr>
          <w:rStyle w:val="FootnoteReference"/>
        </w:rPr>
        <w:footnoteRef/>
      </w:r>
      <w:r>
        <w:t xml:space="preserve"> (§408A (d)(3)(A)(</w:t>
      </w:r>
      <w:proofErr w:type="spellStart"/>
      <w:r>
        <w:t>i</w:t>
      </w:r>
      <w:proofErr w:type="spellEnd"/>
      <w:r>
        <w:t>))</w:t>
      </w:r>
    </w:p>
  </w:footnote>
  <w:footnote w:id="7">
    <w:p w:rsidR="00757AF9" w:rsidRDefault="00757AF9">
      <w:pPr>
        <w:pStyle w:val="FootnoteText"/>
      </w:pPr>
      <w:r>
        <w:rPr>
          <w:rStyle w:val="FootnoteReference"/>
        </w:rPr>
        <w:footnoteRef/>
      </w:r>
      <w:r>
        <w:t xml:space="preserve"> (§1.408 (A4))</w:t>
      </w:r>
    </w:p>
  </w:footnote>
  <w:footnote w:id="8">
    <w:p w:rsidR="00757AF9" w:rsidRDefault="00757AF9">
      <w:pPr>
        <w:pStyle w:val="FootnoteText"/>
      </w:pPr>
      <w:r>
        <w:rPr>
          <w:rStyle w:val="FootnoteReference"/>
        </w:rPr>
        <w:footnoteRef/>
      </w:r>
      <w:r>
        <w:t xml:space="preserve"> §</w:t>
      </w:r>
      <w:r w:rsidRPr="00FF4942">
        <w:t>. 72(t)(2)(E)</w:t>
      </w:r>
      <w:r>
        <w:t>, 401(k), 408(a), and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DA"/>
    <w:rsid w:val="00045EA9"/>
    <w:rsid w:val="000E65D9"/>
    <w:rsid w:val="0010089D"/>
    <w:rsid w:val="0010446A"/>
    <w:rsid w:val="00125B29"/>
    <w:rsid w:val="00147B8B"/>
    <w:rsid w:val="00152E1C"/>
    <w:rsid w:val="001A0D48"/>
    <w:rsid w:val="00331921"/>
    <w:rsid w:val="003410EC"/>
    <w:rsid w:val="004356CE"/>
    <w:rsid w:val="00454743"/>
    <w:rsid w:val="004B560B"/>
    <w:rsid w:val="004C643F"/>
    <w:rsid w:val="005E55BB"/>
    <w:rsid w:val="00680341"/>
    <w:rsid w:val="006A40B4"/>
    <w:rsid w:val="00722E1B"/>
    <w:rsid w:val="00757AF9"/>
    <w:rsid w:val="00771841"/>
    <w:rsid w:val="00774FC1"/>
    <w:rsid w:val="007C43C8"/>
    <w:rsid w:val="007D6F98"/>
    <w:rsid w:val="008F62DA"/>
    <w:rsid w:val="0092329F"/>
    <w:rsid w:val="00963872"/>
    <w:rsid w:val="00A40AD3"/>
    <w:rsid w:val="00AA756E"/>
    <w:rsid w:val="00AE37DF"/>
    <w:rsid w:val="00B911D0"/>
    <w:rsid w:val="00BD5464"/>
    <w:rsid w:val="00C356D2"/>
    <w:rsid w:val="00D0677E"/>
    <w:rsid w:val="00D12174"/>
    <w:rsid w:val="00D92EF3"/>
    <w:rsid w:val="00DD5AF8"/>
    <w:rsid w:val="00DE3EE1"/>
    <w:rsid w:val="00EA5E60"/>
    <w:rsid w:val="00EB5A62"/>
    <w:rsid w:val="00FA461F"/>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CCEA5-75DC-435A-B668-68783397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0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earchterm">
    <w:name w:val="docsearchterm"/>
    <w:basedOn w:val="DefaultParagraphFont"/>
    <w:rsid w:val="00125B29"/>
  </w:style>
  <w:style w:type="character" w:styleId="Hyperlink">
    <w:name w:val="Hyperlink"/>
    <w:basedOn w:val="DefaultParagraphFont"/>
    <w:uiPriority w:val="99"/>
    <w:unhideWhenUsed/>
    <w:rsid w:val="00125B29"/>
    <w:rPr>
      <w:color w:val="0000FF"/>
      <w:u w:val="single"/>
    </w:rPr>
  </w:style>
  <w:style w:type="paragraph" w:customStyle="1" w:styleId="hp">
    <w:name w:val="hp"/>
    <w:basedOn w:val="Normal"/>
    <w:rsid w:val="00DD5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43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3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29F"/>
    <w:rPr>
      <w:sz w:val="20"/>
      <w:szCs w:val="20"/>
    </w:rPr>
  </w:style>
  <w:style w:type="character" w:styleId="FootnoteReference">
    <w:name w:val="footnote reference"/>
    <w:basedOn w:val="DefaultParagraphFont"/>
    <w:uiPriority w:val="99"/>
    <w:semiHidden/>
    <w:unhideWhenUsed/>
    <w:rsid w:val="0092329F"/>
    <w:rPr>
      <w:vertAlign w:val="superscript"/>
    </w:rPr>
  </w:style>
  <w:style w:type="character" w:styleId="CommentReference">
    <w:name w:val="annotation reference"/>
    <w:basedOn w:val="DefaultParagraphFont"/>
    <w:uiPriority w:val="99"/>
    <w:semiHidden/>
    <w:unhideWhenUsed/>
    <w:rsid w:val="0010446A"/>
    <w:rPr>
      <w:sz w:val="16"/>
      <w:szCs w:val="16"/>
    </w:rPr>
  </w:style>
  <w:style w:type="paragraph" w:styleId="CommentText">
    <w:name w:val="annotation text"/>
    <w:basedOn w:val="Normal"/>
    <w:link w:val="CommentTextChar"/>
    <w:uiPriority w:val="99"/>
    <w:semiHidden/>
    <w:unhideWhenUsed/>
    <w:rsid w:val="0010446A"/>
    <w:pPr>
      <w:spacing w:line="240" w:lineRule="auto"/>
    </w:pPr>
    <w:rPr>
      <w:sz w:val="20"/>
      <w:szCs w:val="20"/>
    </w:rPr>
  </w:style>
  <w:style w:type="character" w:customStyle="1" w:styleId="CommentTextChar">
    <w:name w:val="Comment Text Char"/>
    <w:basedOn w:val="DefaultParagraphFont"/>
    <w:link w:val="CommentText"/>
    <w:uiPriority w:val="99"/>
    <w:semiHidden/>
    <w:rsid w:val="0010446A"/>
    <w:rPr>
      <w:sz w:val="20"/>
      <w:szCs w:val="20"/>
    </w:rPr>
  </w:style>
  <w:style w:type="paragraph" w:styleId="CommentSubject">
    <w:name w:val="annotation subject"/>
    <w:basedOn w:val="CommentText"/>
    <w:next w:val="CommentText"/>
    <w:link w:val="CommentSubjectChar"/>
    <w:uiPriority w:val="99"/>
    <w:semiHidden/>
    <w:unhideWhenUsed/>
    <w:rsid w:val="0010446A"/>
    <w:rPr>
      <w:b/>
      <w:bCs/>
    </w:rPr>
  </w:style>
  <w:style w:type="character" w:customStyle="1" w:styleId="CommentSubjectChar">
    <w:name w:val="Comment Subject Char"/>
    <w:basedOn w:val="CommentTextChar"/>
    <w:link w:val="CommentSubject"/>
    <w:uiPriority w:val="99"/>
    <w:semiHidden/>
    <w:rsid w:val="0010446A"/>
    <w:rPr>
      <w:b/>
      <w:bCs/>
      <w:sz w:val="20"/>
      <w:szCs w:val="20"/>
    </w:rPr>
  </w:style>
  <w:style w:type="paragraph" w:styleId="BalloonText">
    <w:name w:val="Balloon Text"/>
    <w:basedOn w:val="Normal"/>
    <w:link w:val="BalloonTextChar"/>
    <w:uiPriority w:val="99"/>
    <w:semiHidden/>
    <w:unhideWhenUsed/>
    <w:rsid w:val="0010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6A"/>
    <w:rPr>
      <w:rFonts w:ascii="Segoe UI" w:hAnsi="Segoe UI" w:cs="Segoe UI"/>
      <w:sz w:val="18"/>
      <w:szCs w:val="18"/>
    </w:rPr>
  </w:style>
  <w:style w:type="character" w:customStyle="1" w:styleId="Heading1Char">
    <w:name w:val="Heading 1 Char"/>
    <w:basedOn w:val="DefaultParagraphFont"/>
    <w:link w:val="Heading1"/>
    <w:uiPriority w:val="9"/>
    <w:rsid w:val="00680341"/>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B911D0"/>
    <w:pPr>
      <w:spacing w:after="0" w:line="240" w:lineRule="auto"/>
    </w:pPr>
    <w:rPr>
      <w:rFonts w:eastAsiaTheme="minorEastAsia"/>
    </w:rPr>
  </w:style>
  <w:style w:type="character" w:customStyle="1" w:styleId="NoSpacingChar">
    <w:name w:val="No Spacing Char"/>
    <w:basedOn w:val="DefaultParagraphFont"/>
    <w:link w:val="NoSpacing"/>
    <w:uiPriority w:val="1"/>
    <w:rsid w:val="00B911D0"/>
    <w:rPr>
      <w:rFonts w:eastAsiaTheme="minorEastAsia"/>
    </w:rPr>
  </w:style>
  <w:style w:type="paragraph" w:styleId="Header">
    <w:name w:val="header"/>
    <w:basedOn w:val="Normal"/>
    <w:link w:val="HeaderChar"/>
    <w:uiPriority w:val="99"/>
    <w:unhideWhenUsed/>
    <w:rsid w:val="00B91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1D0"/>
  </w:style>
  <w:style w:type="paragraph" w:styleId="Footer">
    <w:name w:val="footer"/>
    <w:basedOn w:val="Normal"/>
    <w:link w:val="FooterChar"/>
    <w:uiPriority w:val="99"/>
    <w:unhideWhenUsed/>
    <w:rsid w:val="00B91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4118">
      <w:bodyDiv w:val="1"/>
      <w:marLeft w:val="0"/>
      <w:marRight w:val="0"/>
      <w:marTop w:val="0"/>
      <w:marBottom w:val="0"/>
      <w:divBdr>
        <w:top w:val="none" w:sz="0" w:space="0" w:color="auto"/>
        <w:left w:val="none" w:sz="0" w:space="0" w:color="auto"/>
        <w:bottom w:val="none" w:sz="0" w:space="0" w:color="auto"/>
        <w:right w:val="none" w:sz="0" w:space="0" w:color="auto"/>
      </w:divBdr>
    </w:div>
    <w:div w:id="845633738">
      <w:bodyDiv w:val="1"/>
      <w:marLeft w:val="0"/>
      <w:marRight w:val="0"/>
      <w:marTop w:val="0"/>
      <w:marBottom w:val="0"/>
      <w:divBdr>
        <w:top w:val="none" w:sz="0" w:space="0" w:color="auto"/>
        <w:left w:val="none" w:sz="0" w:space="0" w:color="auto"/>
        <w:bottom w:val="none" w:sz="0" w:space="0" w:color="auto"/>
        <w:right w:val="none" w:sz="0" w:space="0" w:color="auto"/>
      </w:divBdr>
      <w:divsChild>
        <w:div w:id="579680521">
          <w:marLeft w:val="0"/>
          <w:marRight w:val="0"/>
          <w:marTop w:val="0"/>
          <w:marBottom w:val="0"/>
          <w:divBdr>
            <w:top w:val="none" w:sz="0" w:space="0" w:color="auto"/>
            <w:left w:val="none" w:sz="0" w:space="0" w:color="auto"/>
            <w:bottom w:val="none" w:sz="0" w:space="0" w:color="auto"/>
            <w:right w:val="none" w:sz="0" w:space="0" w:color="auto"/>
          </w:divBdr>
        </w:div>
      </w:divsChild>
    </w:div>
    <w:div w:id="895891419">
      <w:bodyDiv w:val="1"/>
      <w:marLeft w:val="0"/>
      <w:marRight w:val="0"/>
      <w:marTop w:val="0"/>
      <w:marBottom w:val="0"/>
      <w:divBdr>
        <w:top w:val="none" w:sz="0" w:space="0" w:color="auto"/>
        <w:left w:val="none" w:sz="0" w:space="0" w:color="auto"/>
        <w:bottom w:val="none" w:sz="0" w:space="0" w:color="auto"/>
        <w:right w:val="none" w:sz="0" w:space="0" w:color="auto"/>
      </w:divBdr>
    </w:div>
    <w:div w:id="1691569051">
      <w:bodyDiv w:val="1"/>
      <w:marLeft w:val="0"/>
      <w:marRight w:val="0"/>
      <w:marTop w:val="0"/>
      <w:marBottom w:val="0"/>
      <w:divBdr>
        <w:top w:val="none" w:sz="0" w:space="0" w:color="auto"/>
        <w:left w:val="none" w:sz="0" w:space="0" w:color="auto"/>
        <w:bottom w:val="none" w:sz="0" w:space="0" w:color="auto"/>
        <w:right w:val="none" w:sz="0" w:space="0" w:color="auto"/>
      </w:divBdr>
    </w:div>
    <w:div w:id="17165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B99E6EEA384BD0B308D8757E0B5B74"/>
        <w:category>
          <w:name w:val="General"/>
          <w:gallery w:val="placeholder"/>
        </w:category>
        <w:types>
          <w:type w:val="bbPlcHdr"/>
        </w:types>
        <w:behaviors>
          <w:behavior w:val="content"/>
        </w:behaviors>
        <w:guid w:val="{45888A67-1CF3-4A88-A4FF-36405EF28E21}"/>
      </w:docPartPr>
      <w:docPartBody>
        <w:p w:rsidR="004E70B7" w:rsidRDefault="00D4005B" w:rsidP="00D4005B">
          <w:pPr>
            <w:pStyle w:val="93B99E6EEA384BD0B308D8757E0B5B74"/>
          </w:pPr>
          <w:r>
            <w:rPr>
              <w:rFonts w:asciiTheme="majorHAnsi" w:eastAsiaTheme="majorEastAsia" w:hAnsiTheme="majorHAnsi" w:cstheme="majorBidi"/>
              <w:caps/>
              <w:color w:val="5B9BD5" w:themeColor="accent1"/>
              <w:sz w:val="80"/>
              <w:szCs w:val="80"/>
            </w:rPr>
            <w:t>[Document title]</w:t>
          </w:r>
        </w:p>
      </w:docPartBody>
    </w:docPart>
    <w:docPart>
      <w:docPartPr>
        <w:name w:val="773D2F7BAA914939BBD9FD1E84105E65"/>
        <w:category>
          <w:name w:val="General"/>
          <w:gallery w:val="placeholder"/>
        </w:category>
        <w:types>
          <w:type w:val="bbPlcHdr"/>
        </w:types>
        <w:behaviors>
          <w:behavior w:val="content"/>
        </w:behaviors>
        <w:guid w:val="{3444D87B-B41F-47F5-AB0C-C5810E502CA3}"/>
      </w:docPartPr>
      <w:docPartBody>
        <w:p w:rsidR="004E70B7" w:rsidRDefault="00D4005B" w:rsidP="00D4005B">
          <w:pPr>
            <w:pStyle w:val="773D2F7BAA914939BBD9FD1E84105E6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5B"/>
    <w:rsid w:val="0006480B"/>
    <w:rsid w:val="001B7A60"/>
    <w:rsid w:val="004E70B7"/>
    <w:rsid w:val="00D4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B99E6EEA384BD0B308D8757E0B5B74">
    <w:name w:val="93B99E6EEA384BD0B308D8757E0B5B74"/>
    <w:rsid w:val="00D4005B"/>
  </w:style>
  <w:style w:type="paragraph" w:customStyle="1" w:styleId="773D2F7BAA914939BBD9FD1E84105E65">
    <w:name w:val="773D2F7BAA914939BBD9FD1E84105E65"/>
    <w:rsid w:val="00D40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2013-06-09T00:00:00</PublishDate>
  <Abstract/>
  <CompanyAddress>Chris Ganzon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76FF2-376C-45B4-A8F8-61164D4A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Understanding the individual retirement account</vt:lpstr>
    </vt:vector>
  </TitlesOfParts>
  <Company>Acct. 4611</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individual retirement account</dc:title>
  <dc:subject>Traditional and Roth IRA’s</dc:subject>
  <dc:creator>Windows User</dc:creator>
  <cp:lastModifiedBy>GANZONC09@students.ecu.edu</cp:lastModifiedBy>
  <cp:revision>2</cp:revision>
  <dcterms:created xsi:type="dcterms:W3CDTF">2013-06-11T21:10:00Z</dcterms:created>
  <dcterms:modified xsi:type="dcterms:W3CDTF">2013-06-11T21:10:00Z</dcterms:modified>
</cp:coreProperties>
</file>